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  <w:jc w:val="center"/>
      </w:pPr>
      <w:r>
        <w:t>ТЕХНИЧЕСКОЕ ЗАДАНИЕ</w:t>
      </w:r>
    </w:p>
    <w:p>
      <w:pPr>
        <w:pStyle w:val="Heading1"/>
        <w:jc w:val="center"/>
      </w:pPr>
      <w:r>
        <w:t>на создание автоматизированной системы «Платформа ОПОРА РОССИИ»</w:t>
      </w:r>
    </w:p>
    <w:p>
      <w:pPr>
        <w:jc w:val="both"/>
      </w:pPr>
      <w:r>
        <w:rPr>
          <w:b/>
        </w:rPr>
        <w:t>Документ разработан в соответствии с ГОСТ 34.602-2020 «Информационные технологии. Комплекс стандартов на автоматизированные системы. Техническое задание на создание автоматизированной системы»</w:t>
      </w:r>
    </w:p>
    <w:p>
      <w:pPr>
        <w:keepNext/>
        <w:spacing w:before="200" w:after="80"/>
      </w:pPr>
      <w:r>
        <w:t>Таблица 1 — Сведения о документе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2824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Шифр темы</w:t>
            </w:r>
          </w:p>
        </w:tc>
        <w:tc>
          <w:tcPr>
            <w:tcW w:type="dxa" w:w="6530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(заполняется при утверждении)</w:t>
            </w:r>
          </w:p>
        </w:tc>
      </w:tr>
      <w:tr>
        <w:tc>
          <w:tcPr>
            <w:tcW w:type="dxa" w:w="2824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Версия документа</w:t>
            </w:r>
          </w:p>
        </w:tc>
        <w:tc>
          <w:tcPr>
            <w:tcW w:type="dxa" w:w="6530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0.3</w:t>
            </w:r>
          </w:p>
        </w:tc>
      </w:tr>
      <w:tr>
        <w:tc>
          <w:tcPr>
            <w:tcW w:type="dxa" w:w="2824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Дата</w:t>
            </w:r>
          </w:p>
        </w:tc>
        <w:tc>
          <w:tcPr>
            <w:tcW w:type="dxa" w:w="6530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25.09.2026</w:t>
            </w:r>
          </w:p>
        </w:tc>
      </w:tr>
      <w:tr>
        <w:tc>
          <w:tcPr>
            <w:tcW w:type="dxa" w:w="2824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Статус</w:t>
            </w:r>
          </w:p>
        </w:tc>
        <w:tc>
          <w:tcPr>
            <w:tcW w:type="dxa" w:w="6530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Проект ТЗ (черновик для согласования)</w:t>
            </w:r>
          </w:p>
        </w:tc>
      </w:tr>
    </w:tbl>
    <w:p>
      <w:pPr>
        <w:spacing w:after="120"/>
      </w:pPr>
      <w:r>
        <w:rPr>
          <w:sz w:val="4"/>
        </w:rPr>
      </w:r>
    </w:p>
    <w:p>
      <w:pPr>
        <w:pStyle w:val="Heading1"/>
      </w:pPr>
      <w:r>
        <w:t>1. Общие сведения</w:t>
      </w:r>
    </w:p>
    <w:p>
      <w:pPr>
        <w:jc w:val="both"/>
      </w:pPr>
      <w:r>
        <w:rPr>
          <w:b/>
        </w:rPr>
        <w:t>1.1.</w:t>
      </w:r>
      <w:r>
        <w:t xml:space="preserve"> Полное наименование системы: </w:t>
      </w:r>
      <w:r>
        <w:rPr>
          <w:b/>
        </w:rPr>
        <w:t>Автоматизированная система «Платформа ОПОРА РОССИИ»</w:t>
      </w:r>
      <w:r>
        <w:t xml:space="preserve"> (далее — Система).</w:t>
      </w:r>
    </w:p>
    <w:p>
      <w:pPr>
        <w:jc w:val="both"/>
      </w:pPr>
      <w:r>
        <w:t xml:space="preserve">Условное обозначение: </w:t>
      </w:r>
      <w:r>
        <w:rPr>
          <w:b/>
        </w:rPr>
        <w:t>АС «Платформа ОПОРА РОССИИ»</w:t>
      </w:r>
      <w:r>
        <w:t>.</w:t>
      </w:r>
    </w:p>
    <w:p>
      <w:pPr>
        <w:jc w:val="both"/>
      </w:pPr>
      <w:r>
        <w:rPr>
          <w:b/>
        </w:rPr>
        <w:t>1.2.</w:t>
      </w:r>
      <w:r>
        <w:t xml:space="preserve"> Наименования заказчика и разработчика (участников работ) — заполняются при утверждении настоящего ТЗ.</w:t>
      </w:r>
    </w:p>
    <w:p>
      <w:pPr>
        <w:jc w:val="both"/>
      </w:pPr>
      <w:r>
        <w:rPr>
          <w:b/>
        </w:rPr>
        <w:t>1.3.</w:t>
      </w:r>
      <w:r>
        <w:t xml:space="preserve"> Перечень документов, на основании которых создаётся Система:</w:t>
      </w:r>
    </w:p>
    <w:p>
      <w:pPr>
        <w:spacing w:after="60"/>
        <w:ind w:left="425" w:hanging="227"/>
      </w:pPr>
      <w:r>
        <w:t>– настоящее техническое задание;</w:t>
      </w:r>
    </w:p>
    <w:p>
      <w:pPr>
        <w:spacing w:after="60"/>
        <w:ind w:left="425" w:hanging="227"/>
      </w:pPr>
      <w:r>
        <w:t>– описание бизнес-процессов Организации «ОПОРА РОССИИ» (Приложение А);</w:t>
      </w:r>
    </w:p>
    <w:p>
      <w:pPr>
        <w:spacing w:after="60"/>
        <w:ind w:left="425" w:hanging="227"/>
      </w:pPr>
      <w:r>
        <w:t>– материалы обследования аналогичной действующей платформы (референс функциональности): скриншоты экранов сайта `rmpred.ru` и бота `@pmpred_bot` (Приложение Б).</w:t>
      </w:r>
    </w:p>
    <w:p>
      <w:pPr>
        <w:jc w:val="both"/>
      </w:pPr>
      <w:r>
        <w:rPr>
          <w:b/>
        </w:rPr>
        <w:t>1.4.</w:t>
      </w:r>
      <w:r>
        <w:t xml:space="preserve"> Плановые сроки начала и окончания работ по созданию Системы — заполняются при утверждении настоящего ТЗ.</w:t>
      </w:r>
    </w:p>
    <w:p>
      <w:pPr>
        <w:jc w:val="both"/>
      </w:pPr>
      <w:r>
        <w:rPr>
          <w:b/>
        </w:rPr>
        <w:t>1.5.</w:t>
      </w:r>
      <w:r>
        <w:t xml:space="preserve"> Сведения об источниках и порядке финансирования — заполняются при утверждении настоящего ТЗ.</w:t>
      </w:r>
    </w:p>
    <w:p>
      <w:pPr>
        <w:jc w:val="both"/>
      </w:pPr>
      <w:r>
        <w:rPr>
          <w:b/>
        </w:rPr>
        <w:t>1.6.</w:t>
      </w:r>
      <w:r>
        <w:t xml:space="preserve"> Порядок оформления и предъявления заказчику результатов работ: результаты работ по этапам предъявляются заказчику в соответствии с календарным планом; приёмка осуществляется в порядке, установленном разделом 6 настоящего ТЗ.</w:t>
      </w:r>
    </w:p>
    <w:p>
      <w:pPr>
        <w:pStyle w:val="Heading1"/>
      </w:pPr>
      <w:r>
        <w:t>2. Назначение и цели создания (развития) системы</w:t>
      </w:r>
    </w:p>
    <w:p>
      <w:pPr>
        <w:jc w:val="both"/>
      </w:pPr>
      <w:r>
        <w:rPr>
          <w:b/>
        </w:rPr>
        <w:t>2.1. Назначение Системы.</w:t>
      </w:r>
    </w:p>
    <w:p>
      <w:pPr>
        <w:jc w:val="both"/>
      </w:pPr>
      <w:r>
        <w:t>Система предназначена для автоматизации деятельности общероссийской общественной организации малого и среднего предпринимательства «ОПОРА РОССИИ» (далее — Организация), а именно:</w:t>
      </w:r>
    </w:p>
    <w:p>
      <w:pPr>
        <w:spacing w:after="60"/>
        <w:ind w:left="425" w:hanging="227"/>
      </w:pPr>
      <w:r>
        <w:t>– автоматизации учёта, расчёта и отображения целевых показателей Организации (цели, рейтинги, динамика региональных отделений и округов);</w:t>
      </w:r>
    </w:p>
    <w:p>
      <w:pPr>
        <w:spacing w:after="60"/>
        <w:ind w:left="425" w:hanging="227"/>
      </w:pPr>
      <w:r>
        <w:t>– автоматизации коммуникаций с членами Организации через мессенджер-бот (информационные, образовательные и рейтинговые рассылки);</w:t>
      </w:r>
    </w:p>
    <w:p>
      <w:pPr>
        <w:spacing w:after="60"/>
        <w:ind w:left="425" w:hanging="227"/>
      </w:pPr>
      <w:r>
        <w:t>– обеспечения авторизованного доступа членов Организации к личному кабинету через бота (мессенджеры Telegram и MAX);</w:t>
      </w:r>
    </w:p>
    <w:p>
      <w:pPr>
        <w:spacing w:after="60"/>
        <w:ind w:left="425" w:hanging="227"/>
      </w:pPr>
      <w:r>
        <w:t>– ведения данных региональных отделений (карточка отделения, члены, численность, ссылки на сообщества и чаты);</w:t>
      </w:r>
    </w:p>
    <w:p>
      <w:pPr>
        <w:spacing w:after="60"/>
        <w:ind w:left="425" w:hanging="227"/>
      </w:pPr>
      <w:r>
        <w:t>– хранения и загрузки артефактов;</w:t>
      </w:r>
    </w:p>
    <w:p>
      <w:pPr>
        <w:spacing w:after="60"/>
        <w:ind w:left="425" w:hanging="227"/>
      </w:pPr>
      <w:r>
        <w:t>– ведения задач (трекер);</w:t>
      </w:r>
    </w:p>
    <w:p>
      <w:pPr>
        <w:spacing w:after="60"/>
        <w:ind w:left="425" w:hanging="227"/>
      </w:pPr>
      <w:r>
        <w:t>– обмена практиками между региональными отделениями («Советы от регионов»);</w:t>
      </w:r>
    </w:p>
    <w:p>
      <w:pPr>
        <w:spacing w:after="60"/>
        <w:ind w:left="425" w:hanging="227"/>
      </w:pPr>
      <w:r>
        <w:t>– поддержки ассистента «Зам» (вариант — см. п. 4.2.14).</w:t>
      </w:r>
    </w:p>
    <w:p>
      <w:pPr>
        <w:jc w:val="both"/>
      </w:pPr>
      <w:r>
        <w:rPr>
          <w:b/>
        </w:rPr>
        <w:t>2.2. Цели создания Системы:</w:t>
      </w:r>
    </w:p>
    <w:p>
      <w:pPr>
        <w:spacing w:after="60"/>
        <w:ind w:left="425" w:hanging="227"/>
      </w:pPr>
      <w:r>
        <w:t>– рост базы членов Организации до целевого значения (общая цель, например +1096 к базе от «точки 0»);</w:t>
      </w:r>
    </w:p>
    <w:p>
      <w:pPr>
        <w:spacing w:after="60"/>
        <w:ind w:left="425" w:hanging="227"/>
      </w:pPr>
      <w:r>
        <w:t>– обеспечение прозрачности результатов: каждое региональное отделение и округ видит свой вклад в общий результат;</w:t>
      </w:r>
    </w:p>
    <w:p>
      <w:pPr>
        <w:spacing w:after="60"/>
        <w:ind w:left="425" w:hanging="227"/>
      </w:pPr>
      <w:r>
        <w:t>– сокращение времени на сбор, обработку и публикацию данных (автообновление срезов);</w:t>
      </w:r>
    </w:p>
    <w:p>
      <w:pPr>
        <w:spacing w:after="60"/>
        <w:ind w:left="425" w:hanging="227"/>
      </w:pPr>
      <w:r>
        <w:t>– повышение вовлечённости региональных отделений: выявление «красной зоны» (отделения без динамики) и адресная помощь;</w:t>
      </w:r>
    </w:p>
    <w:p>
      <w:pPr>
        <w:spacing w:after="60"/>
        <w:ind w:left="425" w:hanging="227"/>
      </w:pPr>
      <w:r>
        <w:t>– снижение рутинных операций за счёт автоматических рассылок и (вариант) AI-ассистента;</w:t>
      </w:r>
    </w:p>
    <w:p>
      <w:pPr>
        <w:spacing w:after="60"/>
        <w:ind w:left="425" w:hanging="227"/>
      </w:pPr>
      <w:r>
        <w:t>– создание единой точки входа: бот → сайт → личный кабинет.</w:t>
      </w:r>
    </w:p>
    <w:p>
      <w:pPr>
        <w:pStyle w:val="Heading1"/>
      </w:pPr>
      <w:r>
        <w:t>3. Характеристика объектов автоматизации</w:t>
      </w:r>
    </w:p>
    <w:p>
      <w:pPr>
        <w:jc w:val="both"/>
      </w:pPr>
      <w:r>
        <w:rPr>
          <w:b/>
        </w:rPr>
        <w:t>3.1.</w:t>
      </w:r>
      <w:r>
        <w:t xml:space="preserve"> Объектом автоматизации является деятельность Организации «ОПОРА РОССИИ», включающая:</w:t>
      </w:r>
    </w:p>
    <w:p>
      <w:pPr>
        <w:spacing w:after="60"/>
        <w:ind w:left="425" w:hanging="227"/>
      </w:pPr>
      <w:r>
        <w:t>– руководителей региональных отделений (89 регионов, 8 федеральных округов);</w:t>
      </w:r>
    </w:p>
    <w:p>
      <w:pPr>
        <w:spacing w:after="60"/>
        <w:ind w:left="425" w:hanging="227"/>
      </w:pPr>
      <w:r>
        <w:t>– членов Организации;</w:t>
      </w:r>
    </w:p>
    <w:p>
      <w:pPr>
        <w:spacing w:after="60"/>
        <w:ind w:left="425" w:hanging="227"/>
      </w:pPr>
      <w:r>
        <w:t>– координаторов (выдача ссылок для входа);</w:t>
      </w:r>
    </w:p>
    <w:p>
      <w:pPr>
        <w:spacing w:after="60"/>
        <w:ind w:left="425" w:hanging="227"/>
      </w:pPr>
      <w:r>
        <w:t>– администраторов платформы.</w:t>
      </w:r>
    </w:p>
    <w:p>
      <w:pPr>
        <w:jc w:val="both"/>
      </w:pPr>
      <w:r>
        <w:rPr>
          <w:b/>
        </w:rPr>
        <w:t>3.2.</w:t>
      </w:r>
      <w:r>
        <w:t xml:space="preserve"> Автоматизируемые процессы:</w:t>
      </w:r>
    </w:p>
    <w:p>
      <w:pPr>
        <w:spacing w:after="60"/>
        <w:ind w:left="425" w:hanging="227"/>
      </w:pPr>
      <w:r>
        <w:t>– регистрация и авторизация членов Организации через бота;</w:t>
      </w:r>
    </w:p>
    <w:p>
      <w:pPr>
        <w:spacing w:after="60"/>
        <w:ind w:left="425" w:hanging="227"/>
      </w:pPr>
      <w:r>
        <w:t>– рассылки: информационные, образовательные, рейтинговые (еженедельный фокус целей);</w:t>
      </w:r>
    </w:p>
    <w:p>
      <w:pPr>
        <w:spacing w:after="60"/>
        <w:ind w:left="425" w:hanging="227"/>
      </w:pPr>
      <w:r>
        <w:t>– учёт целевых показателей (проекты Организации и др.): «точка 0», текущие срезы, прирост, динамика;</w:t>
      </w:r>
    </w:p>
    <w:p>
      <w:pPr>
        <w:spacing w:after="60"/>
        <w:ind w:left="425" w:hanging="227"/>
      </w:pPr>
      <w:r>
        <w:t>– формирование рейтингов региональных отделений;</w:t>
      </w:r>
    </w:p>
    <w:p>
      <w:pPr>
        <w:spacing w:after="60"/>
        <w:ind w:left="425" w:hanging="227"/>
      </w:pPr>
      <w:r>
        <w:t>– ведение карточек региональных отделений (численность, ссылки на сообщества и чаты, члены);</w:t>
      </w:r>
    </w:p>
    <w:p>
      <w:pPr>
        <w:spacing w:after="60"/>
        <w:ind w:left="425" w:hanging="227"/>
      </w:pPr>
      <w:r>
        <w:t>– загрузка и хранение артефактов;</w:t>
      </w:r>
    </w:p>
    <w:p>
      <w:pPr>
        <w:spacing w:after="60"/>
        <w:ind w:left="425" w:hanging="227"/>
      </w:pPr>
      <w:r>
        <w:t>– ведение задач;</w:t>
      </w:r>
    </w:p>
    <w:p>
      <w:pPr>
        <w:spacing w:after="60"/>
        <w:ind w:left="425" w:hanging="227"/>
      </w:pPr>
      <w:r>
        <w:t>– обработка запросов (заявки на вступление, на доступ, на участие в мероприятиях, на поддержку);</w:t>
      </w:r>
    </w:p>
    <w:p>
      <w:pPr>
        <w:spacing w:after="60"/>
        <w:ind w:left="425" w:hanging="227"/>
      </w:pPr>
      <w:r>
        <w:t>– ведение базы знаний, календаря событий, истории платформы.</w:t>
      </w:r>
    </w:p>
    <w:p>
      <w:pPr>
        <w:jc w:val="both"/>
      </w:pPr>
      <w:r>
        <w:rPr>
          <w:b/>
        </w:rPr>
        <w:t>3.3.</w:t>
      </w:r>
      <w:r>
        <w:t xml:space="preserve"> Условия эксплуатации: пользователи работают с Системой преимущественно с мобильных устройств (основной сценарий) через браузер; бот функционирует в мессенджерах Telegram и (вариант) MAX. Допускается работа с персональных компьютеров.</w:t>
      </w:r>
    </w:p>
    <w:p>
      <w:pPr>
        <w:pStyle w:val="Heading1"/>
      </w:pPr>
      <w:r>
        <w:t>4. Требования к системе</w:t>
      </w:r>
    </w:p>
    <w:p>
      <w:pPr>
        <w:pStyle w:val="Heading2"/>
      </w:pPr>
      <w:r>
        <w:t>4.1. Требования к системе в целом</w:t>
      </w:r>
    </w:p>
    <w:p>
      <w:pPr>
        <w:jc w:val="both"/>
      </w:pPr>
      <w:r>
        <w:rPr>
          <w:b/>
        </w:rPr>
        <w:t>4.1.1. Требования к структуре и функционированию Системы.</w:t>
      </w:r>
    </w:p>
    <w:p>
      <w:pPr>
        <w:jc w:val="both"/>
      </w:pPr>
      <w:r>
        <w:t>Система включает следующие подсистемы и компоненты:</w:t>
      </w:r>
    </w:p>
    <w:p>
      <w:pPr>
        <w:spacing w:after="60"/>
        <w:ind w:left="425" w:hanging="227"/>
      </w:pPr>
      <w:r>
        <w:t xml:space="preserve">1. </w:t>
      </w:r>
      <w:r>
        <w:rPr>
          <w:b/>
        </w:rPr>
        <w:t>Мессенджер-бот</w:t>
      </w:r>
      <w:r>
        <w:t xml:space="preserve"> (Telegram, MAX) — точка входа, авторизация, рассылки, интерактив.</w:t>
      </w:r>
    </w:p>
    <w:p>
      <w:pPr>
        <w:spacing w:after="60"/>
        <w:ind w:left="425" w:hanging="227"/>
      </w:pPr>
      <w:r>
        <w:t xml:space="preserve">2. </w:t>
      </w:r>
      <w:r>
        <w:rPr>
          <w:b/>
        </w:rPr>
        <w:t>Веб-приложение</w:t>
      </w:r>
      <w:r>
        <w:t xml:space="preserve"> (mobile-first) — личный кабинет, цели, рейтинги, данные региональных отделений, задачи, артефакты.</w:t>
      </w:r>
    </w:p>
    <w:p>
      <w:pPr>
        <w:spacing w:after="60"/>
        <w:ind w:left="425" w:hanging="227"/>
      </w:pPr>
      <w:r>
        <w:t xml:space="preserve">3. </w:t>
      </w:r>
      <w:r>
        <w:rPr>
          <w:b/>
        </w:rPr>
        <w:t>Серверная часть (API)</w:t>
      </w:r>
      <w:r>
        <w:t xml:space="preserve"> — единое API для бота и сайта.</w:t>
      </w:r>
    </w:p>
    <w:p>
      <w:pPr>
        <w:spacing w:after="60"/>
        <w:ind w:left="425" w:hanging="227"/>
      </w:pPr>
      <w:r>
        <w:t xml:space="preserve">4. </w:t>
      </w:r>
      <w:r>
        <w:rPr>
          <w:b/>
        </w:rPr>
        <w:t>База данных</w:t>
      </w:r>
      <w:r>
        <w:t xml:space="preserve"> — единое хранилище данных.</w:t>
      </w:r>
    </w:p>
    <w:p>
      <w:pPr>
        <w:spacing w:after="60"/>
        <w:ind w:left="425" w:hanging="227"/>
      </w:pPr>
      <w:r>
        <w:t xml:space="preserve">5. </w:t>
      </w:r>
      <w:r>
        <w:rPr>
          <w:b/>
        </w:rPr>
        <w:t>Модуль выгрузок данных</w:t>
      </w:r>
      <w:r>
        <w:t xml:space="preserve"> — загрузка срезов, расчёт прироста от «точки 0», автообновление.</w:t>
      </w:r>
    </w:p>
    <w:p>
      <w:pPr>
        <w:spacing w:after="60"/>
        <w:ind w:left="425" w:hanging="227"/>
      </w:pPr>
      <w:r>
        <w:t xml:space="preserve">6. </w:t>
      </w:r>
      <w:r>
        <w:rPr>
          <w:b/>
        </w:rPr>
        <w:t>Модуль рассылок</w:t>
      </w:r>
      <w:r>
        <w:t xml:space="preserve"> — формирование и отправка сообщений через бота.</w:t>
      </w:r>
    </w:p>
    <w:p>
      <w:pPr>
        <w:spacing w:after="60"/>
        <w:ind w:left="425" w:hanging="227"/>
      </w:pPr>
      <w:r>
        <w:t xml:space="preserve">7. </w:t>
      </w:r>
      <w:r>
        <w:rPr>
          <w:b/>
        </w:rPr>
        <w:t>Модуль AI-ассистента «Зам»</w:t>
      </w:r>
      <w:r>
        <w:t xml:space="preserve"> (вариант — см. п. 4.2.14).</w:t>
      </w:r>
    </w:p>
    <w:p>
      <w:pPr>
        <w:jc w:val="both"/>
      </w:pPr>
      <w:r>
        <w:t>Требования к функционированию:</w:t>
      </w:r>
    </w:p>
    <w:p>
      <w:pPr>
        <w:spacing w:after="60"/>
        <w:ind w:left="425" w:hanging="227"/>
      </w:pPr>
      <w:r>
        <w:t>– бот и сайт используют единые данные (то, что загружено на сайте, используется в рассылках бота);</w:t>
      </w:r>
    </w:p>
    <w:p>
      <w:pPr>
        <w:spacing w:after="60"/>
        <w:ind w:left="425" w:hanging="227"/>
      </w:pPr>
      <w:r>
        <w:t>– вход на сайт выполняется только через бота по одноразовой ссылке;</w:t>
      </w:r>
    </w:p>
    <w:p>
      <w:pPr>
        <w:spacing w:after="60"/>
        <w:ind w:left="425" w:hanging="227"/>
      </w:pPr>
      <w:r>
        <w:t>– после подтверждения входа ботом сайт открывается автоматически (при сбое — кнопка «Открыть сайт»);</w:t>
      </w:r>
    </w:p>
    <w:p>
      <w:pPr>
        <w:spacing w:after="60"/>
        <w:ind w:left="425" w:hanging="227"/>
      </w:pPr>
      <w:r>
        <w:t>– данные целей обновляются автоматически по выгрузкам (режим «Автообновление»).</w:t>
      </w:r>
    </w:p>
    <w:p>
      <w:pPr>
        <w:jc w:val="both"/>
      </w:pPr>
      <w:r>
        <w:rPr>
          <w:b/>
        </w:rPr>
        <w:t>4.1.2. Требования к численности и квалификации персонала Системы.</w:t>
      </w:r>
    </w:p>
    <w:p>
      <w:pPr>
        <w:keepNext/>
        <w:spacing w:before="200" w:after="80"/>
      </w:pPr>
      <w:r>
        <w:t>Таблица 2 — Роли и функции персонала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230"/>
        <w:gridCol w:w="3230"/>
        <w:gridCol w:w="3230"/>
      </w:tblGrid>
      <w:tr>
        <w:tc>
          <w:tcPr>
            <w:tcW w:type="dxa" w:w="2928"/>
            <w:shd w:val="clear" w:color="auto" w:fill="D9D9D9"/>
            <w:vAlign w:val="center"/>
          </w:tcPr>
          <w:p>
            <w:pPr>
              <w:spacing w:after="40" w:line="240" w:lineRule="auto"/>
              <w:jc w:val="center"/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  <w:t>Роль</w:t>
            </w:r>
          </w:p>
        </w:tc>
        <w:tc>
          <w:tcPr>
            <w:tcW w:type="dxa" w:w="4555"/>
            <w:shd w:val="clear" w:color="auto" w:fill="D9D9D9"/>
            <w:vAlign w:val="center"/>
          </w:tcPr>
          <w:p>
            <w:pPr>
              <w:spacing w:after="40" w:line="240" w:lineRule="auto"/>
              <w:jc w:val="center"/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  <w:t>Функции</w:t>
            </w:r>
          </w:p>
        </w:tc>
        <w:tc>
          <w:tcPr>
            <w:tcW w:type="dxa" w:w="1871"/>
            <w:shd w:val="clear" w:color="auto" w:fill="D9D9D9"/>
            <w:vAlign w:val="center"/>
          </w:tcPr>
          <w:p>
            <w:pPr>
              <w:spacing w:after="40" w:line="240" w:lineRule="auto"/>
              <w:jc w:val="center"/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  <w:t>Кол-во (ориентировочно)</w:t>
            </w:r>
          </w:p>
        </w:tc>
      </w:tr>
      <w:tr>
        <w:tc>
          <w:tcPr>
            <w:tcW w:type="dxa" w:w="2928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Администратор платформы</w:t>
            </w:r>
          </w:p>
        </w:tc>
        <w:tc>
          <w:tcPr>
            <w:tcW w:type="dxa" w:w="4555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Управление ролями, выгрузками, рассылками, справочниками</w:t>
            </w:r>
          </w:p>
        </w:tc>
        <w:tc>
          <w:tcPr>
            <w:tcW w:type="dxa" w:w="1871"/>
            <w:vAlign w:val="center"/>
          </w:tcPr>
          <w:p>
            <w:pPr>
              <w:spacing w:after="40" w:line="240" w:lineRule="auto"/>
              <w:jc w:val="center"/>
            </w:pPr>
            <w:r>
              <w:rPr>
                <w:sz w:val="20"/>
              </w:rPr>
            </w:r>
            <w:r>
              <w:rPr>
                <w:sz w:val="20"/>
              </w:rPr>
              <w:t>1–3</w:t>
            </w:r>
          </w:p>
        </w:tc>
      </w:tr>
      <w:tr>
        <w:tc>
          <w:tcPr>
            <w:tcW w:type="dxa" w:w="2928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Координатор</w:t>
            </w:r>
          </w:p>
        </w:tc>
        <w:tc>
          <w:tcPr>
            <w:tcW w:type="dxa" w:w="4555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Выдача одноразовых ссылок, поддержка пользователей</w:t>
            </w:r>
          </w:p>
        </w:tc>
        <w:tc>
          <w:tcPr>
            <w:tcW w:type="dxa" w:w="1871"/>
            <w:vAlign w:val="center"/>
          </w:tcPr>
          <w:p>
            <w:pPr>
              <w:spacing w:after="40" w:line="240" w:lineRule="auto"/>
              <w:jc w:val="center"/>
            </w:pPr>
            <w:r>
              <w:rPr>
                <w:sz w:val="20"/>
              </w:rPr>
            </w:r>
            <w:r>
              <w:rPr>
                <w:sz w:val="20"/>
              </w:rPr>
              <w:t>5–20</w:t>
            </w:r>
          </w:p>
        </w:tc>
      </w:tr>
      <w:tr>
        <w:tc>
          <w:tcPr>
            <w:tcW w:type="dxa" w:w="2928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Руководитель регионального отделения</w:t>
            </w:r>
          </w:p>
        </w:tc>
        <w:tc>
          <w:tcPr>
            <w:tcW w:type="dxa" w:w="4555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Работа с целями, рейтингами, карточкой отделения</w:t>
            </w:r>
          </w:p>
        </w:tc>
        <w:tc>
          <w:tcPr>
            <w:tcW w:type="dxa" w:w="1871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до 89</w:t>
            </w:r>
          </w:p>
        </w:tc>
      </w:tr>
      <w:tr>
        <w:tc>
          <w:tcPr>
            <w:tcW w:type="dxa" w:w="2928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Член Организации</w:t>
            </w:r>
          </w:p>
        </w:tc>
        <w:tc>
          <w:tcPr>
            <w:tcW w:type="dxa" w:w="4555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Регистрация, участие, загрузка артефактов</w:t>
            </w:r>
          </w:p>
        </w:tc>
        <w:tc>
          <w:tcPr>
            <w:tcW w:type="dxa" w:w="1871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по мере роста базы</w:t>
            </w:r>
          </w:p>
        </w:tc>
      </w:tr>
    </w:tbl>
    <w:p>
      <w:pPr>
        <w:spacing w:after="120"/>
      </w:pPr>
      <w:r>
        <w:rPr>
          <w:sz w:val="4"/>
        </w:rPr>
      </w:r>
    </w:p>
    <w:p>
      <w:pPr>
        <w:jc w:val="both"/>
      </w:pPr>
      <w:r>
        <w:t>Квалификация: уверенный пользователь мобильных устройств и мессенджеров; специальная подготовка не требуется (обучение — по п. 7).</w:t>
      </w:r>
    </w:p>
    <w:p>
      <w:pPr>
        <w:jc w:val="both"/>
      </w:pPr>
      <w:r>
        <w:rPr>
          <w:b/>
        </w:rPr>
        <w:t>4.1.3. Показатели назначения.</w:t>
      </w:r>
    </w:p>
    <w:p>
      <w:pPr>
        <w:spacing w:after="60"/>
        <w:ind w:left="425" w:hanging="227"/>
      </w:pPr>
      <w:r>
        <w:t>– время загрузки основных экранов мобильной версии — не более 3 с при типовом канале связи;</w:t>
      </w:r>
    </w:p>
    <w:p>
      <w:pPr>
        <w:spacing w:after="60"/>
        <w:ind w:left="425" w:hanging="227"/>
      </w:pPr>
      <w:r>
        <w:t>– отображение экрана «Цели организации» с данными по 89+ регионам — без заметных задержек (не более 2 с);</w:t>
      </w:r>
    </w:p>
    <w:p>
      <w:pPr>
        <w:spacing w:after="60"/>
        <w:ind w:left="425" w:hanging="227"/>
      </w:pPr>
      <w:r>
        <w:t>– доставка массовой рассылки по всей базе подписчиков — не более 1 часа;</w:t>
      </w:r>
    </w:p>
    <w:p>
      <w:pPr>
        <w:spacing w:after="60"/>
        <w:ind w:left="425" w:hanging="227"/>
      </w:pPr>
      <w:r>
        <w:t>– автообновление срезов — без ручного вмешательства, по расписанию;</w:t>
      </w:r>
    </w:p>
    <w:p>
      <w:pPr>
        <w:spacing w:after="60"/>
        <w:ind w:left="425" w:hanging="227"/>
      </w:pPr>
      <w:r>
        <w:t>– доступность Системы — не менее 99% в месяц.</w:t>
      </w:r>
    </w:p>
    <w:p>
      <w:pPr>
        <w:jc w:val="both"/>
      </w:pPr>
      <w:r>
        <w:rPr>
          <w:b/>
        </w:rPr>
        <w:t>4.1.4. Требования к надёжности.</w:t>
      </w:r>
    </w:p>
    <w:p>
      <w:pPr>
        <w:spacing w:after="60"/>
        <w:ind w:left="425" w:hanging="227"/>
      </w:pPr>
      <w:r>
        <w:t>– доступность Системы — не менее 99% в месяц (допустимый простой — не более 7,2 ч/мес);</w:t>
      </w:r>
    </w:p>
    <w:p>
      <w:pPr>
        <w:spacing w:after="60"/>
        <w:ind w:left="425" w:hanging="227"/>
      </w:pPr>
      <w:r>
        <w:t>– корректная обработка устаревших выгрузок: цели со свежестью выгрузки более 7 дней исключаются из рассылки «Еженедельный фокус целей»;</w:t>
      </w:r>
    </w:p>
    <w:p>
      <w:pPr>
        <w:spacing w:after="60"/>
        <w:ind w:left="425" w:hanging="227"/>
      </w:pPr>
      <w:r>
        <w:t>– резервное копирование базы данных — ежесуточно;</w:t>
      </w:r>
    </w:p>
    <w:p>
      <w:pPr>
        <w:spacing w:after="60"/>
        <w:ind w:left="425" w:hanging="227"/>
      </w:pPr>
      <w:r>
        <w:t>– восстановление работоспособности после сбоя — не более 24 часов;</w:t>
      </w:r>
    </w:p>
    <w:p>
      <w:pPr>
        <w:spacing w:after="60"/>
        <w:ind w:left="425" w:hanging="227"/>
      </w:pPr>
      <w:r>
        <w:t>– отсутствие потери данных при штатном завершении работы.</w:t>
      </w:r>
    </w:p>
    <w:p>
      <w:pPr>
        <w:jc w:val="both"/>
      </w:pPr>
      <w:r>
        <w:rPr>
          <w:b/>
        </w:rPr>
        <w:t>4.1.5. Требования к безопасности.</w:t>
      </w:r>
    </w:p>
    <w:p>
      <w:pPr>
        <w:spacing w:after="60"/>
        <w:ind w:left="425" w:hanging="227"/>
      </w:pPr>
      <w:r>
        <w:t>– вход по одноразовым ссылкам; повторное использование ссылки блокируется с сообщением «Ссылка уже была использована. Запросите новую у координатора»;</w:t>
      </w:r>
    </w:p>
    <w:p>
      <w:pPr>
        <w:spacing w:after="60"/>
        <w:ind w:left="425" w:hanging="227"/>
      </w:pPr>
      <w:r>
        <w:t>– привязка сессии к аккаунту мессенджера пользователя;</w:t>
      </w:r>
    </w:p>
    <w:p>
      <w:pPr>
        <w:spacing w:after="60"/>
        <w:ind w:left="425" w:hanging="227"/>
      </w:pPr>
      <w:r>
        <w:t>– разграничение прав доступа по ролям (п. 4.1.8);</w:t>
      </w:r>
    </w:p>
    <w:p>
      <w:pPr>
        <w:spacing w:after="60"/>
        <w:ind w:left="425" w:hanging="227"/>
      </w:pPr>
      <w:r>
        <w:t>– передача данных по защищённому протоколу (TLS);</w:t>
      </w:r>
    </w:p>
    <w:p>
      <w:pPr>
        <w:spacing w:after="60"/>
        <w:ind w:left="425" w:hanging="227"/>
      </w:pPr>
      <w:r>
        <w:t>– журналирование действий пользователей и ассистента (кто, что, когда).</w:t>
      </w:r>
    </w:p>
    <w:p>
      <w:pPr>
        <w:jc w:val="both"/>
      </w:pPr>
      <w:r>
        <w:rPr>
          <w:b/>
        </w:rPr>
        <w:t>4.1.6. Требования к эргономике и технической эстетике.</w:t>
      </w:r>
    </w:p>
    <w:p>
      <w:pPr>
        <w:spacing w:after="60"/>
        <w:ind w:left="425" w:hanging="227"/>
      </w:pPr>
      <w:r>
        <w:t>– интерфейс проектируется по принципу mobile-first (ширина экрана 360–430 px);</w:t>
      </w:r>
    </w:p>
    <w:p>
      <w:pPr>
        <w:spacing w:after="60"/>
        <w:ind w:left="425" w:hanging="227"/>
      </w:pPr>
      <w:r>
        <w:t>– крупные элементы управления, удобные для касания;</w:t>
      </w:r>
    </w:p>
    <w:p>
      <w:pPr>
        <w:spacing w:after="60"/>
        <w:ind w:left="425" w:hanging="227"/>
      </w:pPr>
      <w:r>
        <w:t>– ключевые показатели отображаются крупными цифрами с подписями («Точка 0», «Сейчас», «Цель»);</w:t>
      </w:r>
    </w:p>
    <w:p>
      <w:pPr>
        <w:spacing w:after="60"/>
        <w:ind w:left="425" w:hanging="227"/>
      </w:pPr>
      <w:r>
        <w:t>– цветовое кодирование зон: динамика / «красная зона» / нейтральное состояние;</w:t>
      </w:r>
    </w:p>
    <w:p>
      <w:pPr>
        <w:spacing w:after="60"/>
        <w:ind w:left="425" w:hanging="227"/>
      </w:pPr>
      <w:r>
        <w:t>– единый визуальный стиль с брендом «ОПОРА РОССИИ»;</w:t>
      </w:r>
    </w:p>
    <w:p>
      <w:pPr>
        <w:spacing w:after="60"/>
        <w:ind w:left="425" w:hanging="227"/>
      </w:pPr>
      <w:r>
        <w:t>– пустые состояния сопровождаются подсказками (например: «Советов пока нет. Когда отделение даст динамику по цели, в боте появится кнопка "Дать совет для других лидеров"»).</w:t>
      </w:r>
    </w:p>
    <w:p>
      <w:pPr>
        <w:jc w:val="both"/>
      </w:pPr>
      <w:r>
        <w:rPr>
          <w:b/>
        </w:rPr>
        <w:t>4.1.7. Требования к эксплуатации, техническому обслуживанию, ремонту и хранению.</w:t>
      </w:r>
    </w:p>
    <w:p>
      <w:pPr>
        <w:jc w:val="both"/>
      </w:pPr>
      <w:r>
        <w:t>Эксплуатация Системы осуществляется в соответствии с регламентом, разрабатываемым на этапе «Ввод в действие». Техническое обслуживание — силами разработчика (или эксплуатационной организации) по договору сопровождения.</w:t>
      </w:r>
    </w:p>
    <w:p>
      <w:pPr>
        <w:jc w:val="both"/>
      </w:pPr>
      <w:r>
        <w:rPr>
          <w:b/>
        </w:rPr>
        <w:t>4.1.8. Требования к защите информации от несанкционированного доступа.</w:t>
      </w:r>
    </w:p>
    <w:p>
      <w:pPr>
        <w:spacing w:after="60"/>
        <w:ind w:left="425" w:hanging="227"/>
      </w:pPr>
      <w:r>
        <w:t>– ролевая модель доступа: администратор, координатор, руководитель регионального отделения, член Организации, (вариант) заместитель;</w:t>
      </w:r>
    </w:p>
    <w:p>
      <w:pPr>
        <w:spacing w:after="60"/>
        <w:ind w:left="425" w:hanging="227"/>
      </w:pPr>
      <w:r>
        <w:t>– аутентификация — через аккаунт мессенджера (Telegram/MAX) по одноразовой ссылке;</w:t>
      </w:r>
    </w:p>
    <w:p>
      <w:pPr>
        <w:spacing w:after="60"/>
        <w:ind w:left="425" w:hanging="227"/>
      </w:pPr>
      <w:r>
        <w:t>– авторизация — на уровне API и интерфейса;</w:t>
      </w:r>
    </w:p>
    <w:p>
      <w:pPr>
        <w:spacing w:after="60"/>
        <w:ind w:left="425" w:hanging="227"/>
      </w:pPr>
      <w:r>
        <w:t>– защита от перебора ссылок (случайные токены достаточной длины);</w:t>
      </w:r>
    </w:p>
    <w:p>
      <w:pPr>
        <w:spacing w:after="60"/>
        <w:ind w:left="425" w:hanging="227"/>
      </w:pPr>
      <w:r>
        <w:t>– журналирование попыток несанкционированного доступа.</w:t>
      </w:r>
    </w:p>
    <w:p>
      <w:pPr>
        <w:jc w:val="both"/>
      </w:pPr>
      <w:r>
        <w:rPr>
          <w:b/>
        </w:rPr>
        <w:t>4.1.9. Требования по сохранности информации при авариях.</w:t>
      </w:r>
    </w:p>
    <w:p>
      <w:pPr>
        <w:spacing w:after="60"/>
        <w:ind w:left="425" w:hanging="227"/>
      </w:pPr>
      <w:r>
        <w:t>– ежесуточное резервное копирование БД;</w:t>
      </w:r>
    </w:p>
    <w:p>
      <w:pPr>
        <w:spacing w:after="60"/>
        <w:ind w:left="425" w:hanging="227"/>
      </w:pPr>
      <w:r>
        <w:t>– хранение резервных копий не менее 30 дней;</w:t>
      </w:r>
    </w:p>
    <w:p>
      <w:pPr>
        <w:spacing w:after="60"/>
        <w:ind w:left="425" w:hanging="227"/>
      </w:pPr>
      <w:r>
        <w:t>– восстановление данных — не более 24 часов.</w:t>
      </w:r>
    </w:p>
    <w:p>
      <w:pPr>
        <w:jc w:val="both"/>
      </w:pPr>
      <w:r>
        <w:rPr>
          <w:b/>
        </w:rPr>
        <w:t>4.1.10. Требования к защите от влияния внешних воздействий.</w:t>
      </w:r>
    </w:p>
    <w:p>
      <w:pPr>
        <w:jc w:val="both"/>
      </w:pPr>
      <w:r>
        <w:t>Система функционирует в стандартной серверной среде; специальные требования к стойкости к внешним воздействиям не предъявляются (типовые требования к веб-приложениям: защита от DDoS, ограничение частоты запросов).</w:t>
      </w:r>
    </w:p>
    <w:p>
      <w:pPr>
        <w:jc w:val="both"/>
      </w:pPr>
      <w:r>
        <w:rPr>
          <w:b/>
        </w:rPr>
        <w:t>4.1.11. Требования к патентной чистоте.</w:t>
      </w:r>
    </w:p>
    <w:p>
      <w:pPr>
        <w:jc w:val="both"/>
      </w:pPr>
      <w:r>
        <w:t>Используемые технические решения должны обеспечивать патентную чистоту на территории Российской Федерации.</w:t>
      </w:r>
    </w:p>
    <w:p>
      <w:pPr>
        <w:jc w:val="both"/>
      </w:pPr>
      <w:r>
        <w:rPr>
          <w:b/>
        </w:rPr>
        <w:t>4.1.12. Требования по стандартизации и унификации.</w:t>
      </w:r>
    </w:p>
    <w:p>
      <w:pPr>
        <w:jc w:val="both"/>
      </w:pPr>
      <w:r>
        <w:t>При создании Системы руководствоваться: ГОСТ 34.601-2020 (стадии создания), ГОСТ 34.602-2020 (настоящее ТЗ), ГОСТ 34.603-2021 (испытания), ГОСТ 19.201-78 (при разработке программной документации).</w:t>
      </w:r>
    </w:p>
    <w:p>
      <w:pPr>
        <w:jc w:val="both"/>
      </w:pPr>
      <w:r>
        <w:rPr>
          <w:b/>
        </w:rPr>
        <w:t>4.1.13. Дополнительные требования.</w:t>
      </w:r>
    </w:p>
    <w:p>
      <w:pPr>
        <w:spacing w:after="60"/>
        <w:ind w:left="425" w:hanging="227"/>
      </w:pPr>
      <w:r>
        <w:t>– поддержка русского языка интерфейса;</w:t>
      </w:r>
    </w:p>
    <w:p>
      <w:pPr>
        <w:spacing w:after="60"/>
        <w:ind w:left="425" w:hanging="227"/>
      </w:pPr>
      <w:r>
        <w:t>– работа в основных мобильных браузерах (Chrome, Safari) и встроенных браузерах мессенджеров;</w:t>
      </w:r>
    </w:p>
    <w:p>
      <w:pPr>
        <w:spacing w:after="60"/>
        <w:ind w:left="425" w:hanging="227"/>
      </w:pPr>
      <w:r>
        <w:t>– масштабируемость в соответствии с выбранным вариантом (п. 4.1.13.1);</w:t>
      </w:r>
    </w:p>
    <w:p>
      <w:pPr>
        <w:spacing w:after="60"/>
        <w:ind w:left="425" w:hanging="227"/>
      </w:pPr>
      <w:r>
        <w:t>– варианты решений по открытым вопросам приведены в пп. 4.1.13.1–4.1.13.10.</w:t>
      </w:r>
    </w:p>
    <w:p>
      <w:pPr>
        <w:jc w:val="both"/>
      </w:pPr>
      <w:r>
        <w:rPr>
          <w:b/>
        </w:rPr>
        <w:t>4.1.13.1. Масштаб системы (варианты).</w:t>
      </w:r>
    </w:p>
    <w:p>
      <w:pPr>
        <w:spacing w:before="80" w:after="80"/>
        <w:ind w:left="567"/>
      </w:pPr>
      <w:r>
        <w:rPr>
          <w:b/>
        </w:rPr>
        <w:t>Вариант 1 (рекомендуемый):</w:t>
      </w:r>
      <w:r>
        <w:t xml:space="preserve"> до 10 000 зарегистрированных пользователей, до 100 000 подписчиков рассылок. Достаточно одного сервера приложений и СУБД с репликацией.</w:t>
      </w:r>
    </w:p>
    <w:p>
      <w:pPr>
        <w:spacing w:before="80" w:after="80"/>
        <w:ind w:left="567"/>
      </w:pPr>
      <w:r>
        <w:rPr>
          <w:b/>
        </w:rPr>
        <w:t>Вариант 2:</w:t>
      </w:r>
      <w:r>
        <w:t xml:space="preserve"> до 100 000 пользователей, до 1 000 000 подписчиков рассылок. Требуется кластерная архитектура, горизонтальное масштабирование, очередь сообщений для рассылок.</w:t>
      </w:r>
    </w:p>
    <w:p>
      <w:pPr>
        <w:jc w:val="both"/>
      </w:pPr>
      <w:r>
        <w:rPr>
          <w:b/>
        </w:rPr>
        <w:t>4.1.13.2. Мессенджеры (варианты).</w:t>
      </w:r>
    </w:p>
    <w:p>
      <w:pPr>
        <w:spacing w:before="80" w:after="80"/>
        <w:ind w:left="567"/>
      </w:pPr>
      <w:r>
        <w:rPr>
          <w:b/>
        </w:rPr>
        <w:t>Вариант 1 (рекомендуемый):</w:t>
      </w:r>
      <w:r>
        <w:t xml:space="preserve"> интеграция с Telegram и MAX с первого этапа создания Системы (единый бот-адаптер с двумя каналами).</w:t>
      </w:r>
    </w:p>
    <w:p>
      <w:pPr>
        <w:spacing w:before="80" w:after="80"/>
        <w:ind w:left="567"/>
      </w:pPr>
      <w:r>
        <w:rPr>
          <w:b/>
        </w:rPr>
        <w:t>Вариант 2:</w:t>
      </w:r>
      <w:r>
        <w:t xml:space="preserve"> на первом этапе — только Telegram; интеграция с MAX — на втором этапе, после подтверждения возможностей Bot API мессенджера MAX.</w:t>
      </w:r>
    </w:p>
    <w:p>
      <w:pPr>
        <w:jc w:val="both"/>
      </w:pPr>
      <w:r>
        <w:rPr>
          <w:b/>
        </w:rPr>
        <w:t>4.1.13.3. Дизайн интерфейса (варианты).</w:t>
      </w:r>
    </w:p>
    <w:p>
      <w:pPr>
        <w:spacing w:before="80" w:after="80"/>
        <w:ind w:left="567"/>
      </w:pPr>
      <w:r>
        <w:rPr>
          <w:b/>
        </w:rPr>
        <w:t>Вариант 1 (рекомендуемый):</w:t>
      </w:r>
      <w:r>
        <w:t xml:space="preserve"> разработка интерфейса на основе брендбука / гайдлайнов «ОПОРА РОССИИ» (при наличии у заказчика).</w:t>
      </w:r>
    </w:p>
    <w:p>
      <w:pPr>
        <w:spacing w:before="80" w:after="80"/>
        <w:ind w:left="567"/>
      </w:pPr>
      <w:r>
        <w:rPr>
          <w:b/>
        </w:rPr>
        <w:t>Вариант 2:</w:t>
      </w:r>
      <w:r>
        <w:t xml:space="preserve"> разработка нового дизайн-концепта с нуля (создание фирменного стиля интерфейса).</w:t>
      </w:r>
    </w:p>
    <w:p>
      <w:pPr>
        <w:pStyle w:val="Heading2"/>
      </w:pPr>
      <w:r>
        <w:t>4.2. Требования к функциям (задачам), выполняемым системой</w:t>
      </w:r>
    </w:p>
    <w:p>
      <w:pPr>
        <w:jc w:val="both"/>
      </w:pPr>
      <w:r>
        <w:rPr>
          <w:b/>
        </w:rPr>
        <w:t>4.2.1. Функция «Авторизация и управление доступом».</w:t>
      </w:r>
    </w:p>
    <w:p>
      <w:pPr>
        <w:spacing w:after="60"/>
        <w:ind w:left="425" w:hanging="227"/>
      </w:pPr>
      <w:r>
        <w:t>– выбор мессенджера на сайте: «Войти через MAX» / «Войти через Telegram»;</w:t>
      </w:r>
    </w:p>
    <w:p>
      <w:pPr>
        <w:spacing w:after="60"/>
        <w:ind w:left="425" w:hanging="227"/>
      </w:pPr>
      <w:r>
        <w:t>– подтверждение входа ботом; автооткрытие личного кабинета;</w:t>
      </w:r>
    </w:p>
    <w:p>
      <w:pPr>
        <w:spacing w:after="60"/>
        <w:ind w:left="425" w:hanging="227"/>
      </w:pPr>
      <w:r>
        <w:t>– одноразовые ссылки входа, выдаваемые координатором; блокировка повторного использования;</w:t>
      </w:r>
    </w:p>
    <w:p>
      <w:pPr>
        <w:spacing w:after="60"/>
        <w:ind w:left="425" w:hanging="227"/>
      </w:pPr>
      <w:r>
        <w:t>– сценарий «Нет доступа? Начните регистрацию через бота»;</w:t>
      </w:r>
    </w:p>
    <w:p>
      <w:pPr>
        <w:spacing w:after="60"/>
        <w:ind w:left="425" w:hanging="227"/>
      </w:pPr>
      <w:r>
        <w:t>– подтверждение входа в боте: «{ФИО}, вход выполнен!»;</w:t>
      </w:r>
    </w:p>
    <w:p>
      <w:pPr>
        <w:spacing w:after="60"/>
        <w:ind w:left="425" w:hanging="227"/>
      </w:pPr>
      <w:r>
        <w:t>– завершение сессии («Выйти»).</w:t>
      </w:r>
    </w:p>
    <w:p>
      <w:pPr>
        <w:jc w:val="both"/>
      </w:pPr>
      <w:r>
        <w:rPr>
          <w:b/>
        </w:rPr>
        <w:t>4.2.2. Функция «Бот: онбординг, меню, команды».</w:t>
      </w:r>
    </w:p>
    <w:p>
      <w:pPr>
        <w:spacing w:after="60"/>
        <w:ind w:left="425" w:hanging="227"/>
      </w:pPr>
      <w:r>
        <w:t>– онбординг в формате 5 шагов: 1) регистрация на платформе; 2) заявка на вступление в Организацию; 3) онлайн-обучение; 4) участие в очном мероприятии; 5) защита проекта и получение поддержки;</w:t>
      </w:r>
    </w:p>
    <w:p>
      <w:pPr>
        <w:spacing w:after="60"/>
        <w:ind w:left="425" w:hanging="227"/>
      </w:pPr>
      <w:r>
        <w:t>– главное меню: «Войти на сайт», «Мои возможности», «Регионы и пользователи», «Цели организации», «Регистрации на мероприятия», «Помощь»;</w:t>
      </w:r>
    </w:p>
    <w:p>
      <w:pPr>
        <w:spacing w:after="60"/>
        <w:ind w:left="425" w:hanging="227"/>
      </w:pPr>
      <w:r>
        <w:t>– команды: `/start`, `/login`, `/requests`, `/regions`, `/goals`, `/events`, `/help`;</w:t>
      </w:r>
    </w:p>
    <w:p>
      <w:pPr>
        <w:spacing w:after="60"/>
        <w:ind w:left="425" w:hanging="227"/>
      </w:pPr>
      <w:r>
        <w:t>– кнопки: «Открыть сайт», «Открыть цели», «Меню», «Дать совет для других лидеров».</w:t>
      </w:r>
    </w:p>
    <w:p>
      <w:pPr>
        <w:jc w:val="both"/>
      </w:pPr>
      <w:r>
        <w:rPr>
          <w:b/>
        </w:rPr>
        <w:t>4.2.3. Функция «Рассылки».</w:t>
      </w:r>
    </w:p>
    <w:p>
      <w:pPr>
        <w:jc w:val="both"/>
      </w:pPr>
      <w:r>
        <w:t>Три типа рассылок:</w:t>
      </w:r>
    </w:p>
    <w:p>
      <w:pPr>
        <w:keepNext/>
        <w:spacing w:before="200" w:after="80"/>
      </w:pPr>
      <w:r>
        <w:t>Таблица 3 — Типы рассылок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230"/>
        <w:gridCol w:w="3230"/>
        <w:gridCol w:w="3230"/>
      </w:tblGrid>
      <w:tr>
        <w:tc>
          <w:tcPr>
            <w:tcW w:type="dxa" w:w="1926"/>
            <w:shd w:val="clear" w:color="auto" w:fill="D9D9D9"/>
            <w:vAlign w:val="center"/>
          </w:tcPr>
          <w:p>
            <w:pPr>
              <w:spacing w:after="40" w:line="240" w:lineRule="auto"/>
              <w:jc w:val="center"/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  <w:t>Тип</w:t>
            </w:r>
          </w:p>
        </w:tc>
        <w:tc>
          <w:tcPr>
            <w:tcW w:type="dxa" w:w="5411"/>
            <w:shd w:val="clear" w:color="auto" w:fill="D9D9D9"/>
            <w:vAlign w:val="center"/>
          </w:tcPr>
          <w:p>
            <w:pPr>
              <w:spacing w:after="40" w:line="240" w:lineRule="auto"/>
              <w:jc w:val="center"/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  <w:t>Содержание</w:t>
            </w:r>
          </w:p>
        </w:tc>
        <w:tc>
          <w:tcPr>
            <w:tcW w:type="dxa" w:w="2018"/>
            <w:shd w:val="clear" w:color="auto" w:fill="D9D9D9"/>
            <w:vAlign w:val="center"/>
          </w:tcPr>
          <w:p>
            <w:pPr>
              <w:spacing w:after="40" w:line="240" w:lineRule="auto"/>
              <w:jc w:val="center"/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  <w:t>Периодичность</w:t>
            </w:r>
          </w:p>
        </w:tc>
      </w:tr>
      <w:tr>
        <w:tc>
          <w:tcPr>
            <w:tcW w:type="dxa" w:w="1926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Информационные</w:t>
            </w:r>
          </w:p>
        </w:tc>
        <w:tc>
          <w:tcPr>
            <w:tcW w:type="dxa" w:w="5411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Новости, анонсы, изменения платформы</w:t>
            </w:r>
          </w:p>
        </w:tc>
        <w:tc>
          <w:tcPr>
            <w:tcW w:type="dxa" w:w="2018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По мере необходимости</w:t>
            </w:r>
          </w:p>
        </w:tc>
      </w:tr>
      <w:tr>
        <w:tc>
          <w:tcPr>
            <w:tcW w:type="dxa" w:w="1926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Образовательные</w:t>
            </w:r>
          </w:p>
        </w:tc>
        <w:tc>
          <w:tcPr>
            <w:tcW w:type="dxa" w:w="5411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Материалы обучения, шаги программ, практики</w:t>
            </w:r>
          </w:p>
        </w:tc>
        <w:tc>
          <w:tcPr>
            <w:tcW w:type="dxa" w:w="2018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По расписанию программ</w:t>
            </w:r>
          </w:p>
        </w:tc>
      </w:tr>
      <w:tr>
        <w:tc>
          <w:tcPr>
            <w:tcW w:type="dxa" w:w="1926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Рейтинговые / целевые</w:t>
            </w:r>
          </w:p>
        </w:tc>
        <w:tc>
          <w:tcPr>
            <w:tcW w:type="dxa" w:w="5411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«Еженедельный фокус целей» — персональная сводка по региону</w:t>
            </w:r>
          </w:p>
        </w:tc>
        <w:tc>
          <w:tcPr>
            <w:tcW w:type="dxa" w:w="2018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Еженедельно</w:t>
            </w:r>
          </w:p>
        </w:tc>
      </w:tr>
    </w:tbl>
    <w:p>
      <w:pPr>
        <w:spacing w:after="120"/>
      </w:pPr>
      <w:r>
        <w:rPr>
          <w:sz w:val="4"/>
        </w:rPr>
      </w:r>
    </w:p>
    <w:p>
      <w:pPr>
        <w:jc w:val="both"/>
      </w:pPr>
      <w:r>
        <w:t>Формат «Еженедельного фокуса целей»:</w:t>
      </w:r>
    </w:p>
    <w:p>
      <w:pPr>
        <w:spacing w:after="60"/>
        <w:ind w:left="425" w:hanging="227"/>
      </w:pPr>
      <w:r>
        <w:t>– регион получателя (например, «Донецкая Народная Республика»);</w:t>
      </w:r>
    </w:p>
    <w:p>
      <w:pPr>
        <w:spacing w:after="60"/>
        <w:ind w:left="425" w:hanging="227"/>
      </w:pPr>
      <w:r>
        <w:t>– включаются только цели со свежей выгрузкой за последние 7 дней;</w:t>
      </w:r>
    </w:p>
    <w:p>
      <w:pPr>
        <w:spacing w:after="60"/>
        <w:ind w:left="425" w:hanging="227"/>
      </w:pPr>
      <w:r>
        <w:t>– позиция региона: «Ваш регион: топ прироста, прирост от 11.06.2026: +134»;</w:t>
      </w:r>
    </w:p>
    <w:p>
      <w:pPr>
        <w:spacing w:after="60"/>
        <w:ind w:left="425" w:hanging="227"/>
      </w:pPr>
      <w:r>
        <w:t>– динамика округа: «Округ: ЮФО: +365, с динамикой 12/12 регионов»;</w:t>
      </w:r>
    </w:p>
    <w:p>
      <w:pPr>
        <w:spacing w:after="60"/>
        <w:ind w:left="425" w:hanging="227"/>
      </w:pPr>
      <w:r>
        <w:t>– рекомендация: «Что делать: удержать темп и поделиться рабочими действиями с округом»;</w:t>
      </w:r>
    </w:p>
    <w:p>
      <w:pPr>
        <w:spacing w:after="60"/>
        <w:ind w:left="425" w:hanging="227"/>
      </w:pPr>
      <w:r>
        <w:t>– кнопка «Открыть цели» — переход на сайт.</w:t>
      </w:r>
    </w:p>
    <w:p>
      <w:pPr>
        <w:jc w:val="both"/>
      </w:pPr>
      <w:r>
        <w:rPr>
          <w:b/>
        </w:rPr>
        <w:t>4.2.3.1. Управление рассылками (варианты).</w:t>
      </w:r>
    </w:p>
    <w:p>
      <w:pPr>
        <w:spacing w:before="80" w:after="80"/>
        <w:ind w:left="567"/>
      </w:pPr>
      <w:r>
        <w:rPr>
          <w:b/>
        </w:rPr>
        <w:t>Вариант 1 (рекомендуемый):</w:t>
      </w:r>
      <w:r>
        <w:t xml:space="preserve"> фиксированные шаблоны рассылок (еженедельный фокус целей, анонсы, образовательные материалы). Администратор редактирует тексты шаблонов и запускает рассылки; аудитория определяется автоматически (по региону, роли, подписке).</w:t>
      </w:r>
    </w:p>
    <w:p>
      <w:pPr>
        <w:spacing w:before="80" w:after="80"/>
        <w:ind w:left="567"/>
      </w:pPr>
      <w:r>
        <w:rPr>
          <w:b/>
        </w:rPr>
        <w:t>Вариант 2:</w:t>
      </w:r>
      <w:r>
        <w:t xml:space="preserve"> конструктор рассылок: произвольный текст/медиа, выбор аудитории (регион, округ, роль), отложенный запуск, статистика доставки и открытий, A/B-тестирование.</w:t>
      </w:r>
    </w:p>
    <w:p>
      <w:pPr>
        <w:jc w:val="both"/>
      </w:pPr>
      <w:r>
        <w:rPr>
          <w:b/>
        </w:rPr>
        <w:t>4.2.4. Функция «Цели организации».</w:t>
      </w:r>
    </w:p>
    <w:p>
      <w:pPr>
        <w:jc w:val="both"/>
      </w:pPr>
      <w:r>
        <w:t>Экран целевых показателей: «что набираем, где есть движение и кому нужна помощь». Состав экрана:</w:t>
      </w:r>
    </w:p>
    <w:p>
      <w:pPr>
        <w:spacing w:after="60"/>
        <w:ind w:left="425" w:hanging="227"/>
      </w:pPr>
      <w:r>
        <w:t xml:space="preserve">– </w:t>
      </w:r>
      <w:r>
        <w:rPr>
          <w:b/>
        </w:rPr>
        <w:t>общая цель Организации</w:t>
      </w:r>
      <w:r>
        <w:t xml:space="preserve"> — например, «+1096 к базе членов»; пояснение: «У Организации одна общая цель: вырасти на 1096 от точки 0. Округа показываются как вкладчики в общий результат»;</w:t>
      </w:r>
    </w:p>
    <w:p>
      <w:pPr>
        <w:spacing w:after="60"/>
        <w:ind w:left="425" w:hanging="227"/>
      </w:pPr>
      <w:r>
        <w:t xml:space="preserve">– </w:t>
      </w:r>
      <w:r>
        <w:rPr>
          <w:b/>
        </w:rPr>
        <w:t>вклад в общую цель</w:t>
      </w:r>
      <w:r>
        <w:t xml:space="preserve"> — суммарный вклад округов (например, +338), численность, зарегистрированные члены, кнопка «Открыть»;</w:t>
      </w:r>
    </w:p>
    <w:p>
      <w:pPr>
        <w:spacing w:after="60"/>
        <w:ind w:left="425" w:hanging="227"/>
      </w:pPr>
      <w:r>
        <w:t xml:space="preserve">– </w:t>
      </w:r>
      <w:r>
        <w:rPr>
          <w:b/>
        </w:rPr>
        <w:t>динамика по цели</w:t>
      </w:r>
      <w:r>
        <w:t xml:space="preserve"> — «Точка 0» / «Сейчас» / «Цель» с числовыми значениями;</w:t>
      </w:r>
    </w:p>
    <w:p>
      <w:pPr>
        <w:spacing w:after="60"/>
        <w:ind w:left="425" w:hanging="227"/>
      </w:pPr>
      <w:r>
        <w:t xml:space="preserve">– </w:t>
      </w:r>
      <w:r>
        <w:rPr>
          <w:b/>
        </w:rPr>
        <w:t>проекты Организации</w:t>
      </w:r>
      <w:r>
        <w:t>: активные цели, регионы с динамикой (например, 89), «Есть динамика», «Численность», «Организация: вклад сейчас» (+25), «Проекты: прирост от точки 0» (+2 594);</w:t>
      </w:r>
    </w:p>
    <w:p>
      <w:pPr>
        <w:spacing w:after="60"/>
        <w:ind w:left="425" w:hanging="227"/>
      </w:pPr>
      <w:r>
        <w:t xml:space="preserve">– </w:t>
      </w:r>
      <w:r>
        <w:rPr>
          <w:b/>
        </w:rPr>
        <w:t>параметры среза</w:t>
      </w:r>
      <w:r>
        <w:t>: «Точка 0: 2026-05-08; текущий срез: 2026-08-07», режим «Автообновление»;</w:t>
      </w:r>
    </w:p>
    <w:p>
      <w:pPr>
        <w:spacing w:after="60"/>
        <w:ind w:left="425" w:hanging="227"/>
      </w:pPr>
      <w:r>
        <w:t xml:space="preserve">– </w:t>
      </w:r>
      <w:r>
        <w:rPr>
          <w:b/>
        </w:rPr>
        <w:t>накопительная динамика регистраций по регионам</w:t>
      </w:r>
      <w:r>
        <w:t xml:space="preserve"> — график/список прироста от точки 0, стартовая точка (например, 11.06.2026);</w:t>
      </w:r>
    </w:p>
    <w:p>
      <w:pPr>
        <w:spacing w:after="60"/>
        <w:ind w:left="425" w:hanging="227"/>
      </w:pPr>
      <w:r>
        <w:t xml:space="preserve">– </w:t>
      </w:r>
      <w:r>
        <w:rPr>
          <w:b/>
        </w:rPr>
        <w:t>топ включившихся регионов</w:t>
      </w:r>
      <w:r>
        <w:t xml:space="preserve"> — «Кто сильнее всего включился в проекты» (Москва +224, Башкортостан +217, Санкт-Петербург +159, Донецкая Народная Республика +136, Татарстан +132 и др.);</w:t>
      </w:r>
    </w:p>
    <w:p>
      <w:pPr>
        <w:spacing w:after="60"/>
        <w:ind w:left="425" w:hanging="227"/>
      </w:pPr>
      <w:r>
        <w:t xml:space="preserve">– </w:t>
      </w:r>
      <w:r>
        <w:rPr>
          <w:b/>
        </w:rPr>
        <w:t>красная зона проектов</w:t>
      </w:r>
      <w:r>
        <w:t xml:space="preserve"> — регионы без накопительного прироста от точки 0; при отсутствии проблемных регионов — статус «все регионы дали прирост»; кнопка «Полный список»;</w:t>
      </w:r>
    </w:p>
    <w:p>
      <w:pPr>
        <w:spacing w:after="60"/>
        <w:ind w:left="425" w:hanging="227"/>
      </w:pPr>
      <w:r>
        <w:t xml:space="preserve">– </w:t>
      </w:r>
      <w:r>
        <w:rPr>
          <w:b/>
        </w:rPr>
        <w:t>советы от регионов</w:t>
      </w:r>
      <w:r>
        <w:t xml:space="preserve"> — практики региональных лидеров; пустое состояние с подсказкой о кнопке «Дать совет для других лидеров» в боте.</w:t>
      </w:r>
    </w:p>
    <w:p>
      <w:pPr>
        <w:jc w:val="both"/>
      </w:pPr>
      <w:r>
        <w:rPr>
          <w:b/>
        </w:rPr>
        <w:t>4.2.5. Функция «Рейтинг регионов».</w:t>
      </w:r>
    </w:p>
    <w:p>
      <w:pPr>
        <w:spacing w:after="60"/>
        <w:ind w:left="425" w:hanging="227"/>
      </w:pPr>
      <w:r>
        <w:t>– список/таблица регионов с показателями (прирост, динамика, численность);</w:t>
      </w:r>
    </w:p>
    <w:p>
      <w:pPr>
        <w:spacing w:after="60"/>
        <w:ind w:left="425" w:hanging="227"/>
      </w:pPr>
      <w:r>
        <w:t>– сортировка, фильтры по округам, выделение «красной зоны».</w:t>
      </w:r>
    </w:p>
    <w:p>
      <w:pPr>
        <w:jc w:val="both"/>
      </w:pPr>
      <w:r>
        <w:rPr>
          <w:b/>
        </w:rPr>
        <w:t>4.2.5.1. Методика расчёта рейтинга (варианты).</w:t>
      </w:r>
    </w:p>
    <w:p>
      <w:pPr>
        <w:spacing w:before="80" w:after="80"/>
        <w:ind w:left="567"/>
      </w:pPr>
      <w:r>
        <w:rPr>
          <w:b/>
        </w:rPr>
        <w:t>Вариант 1 (рекомендуемый):</w:t>
      </w:r>
      <w:r>
        <w:t xml:space="preserve"> рейтинг по накопительному приросту от «точки 0» (чем больше прирост, тем выше место).</w:t>
      </w:r>
    </w:p>
    <w:p>
      <w:pPr>
        <w:spacing w:before="80" w:after="80"/>
        <w:ind w:left="567"/>
      </w:pPr>
      <w:r>
        <w:rPr>
          <w:b/>
        </w:rPr>
        <w:t>Вариант 2:</w:t>
      </w:r>
      <w:r>
        <w:t xml:space="preserve"> комплексный рейтинг по взвешенной формуле: прирост от точки 0 + численность + активность членов + выполнение задач. Состав весов утверждается заказчиком.</w:t>
      </w:r>
    </w:p>
    <w:p>
      <w:pPr>
        <w:jc w:val="both"/>
      </w:pPr>
      <w:r>
        <w:rPr>
          <w:b/>
        </w:rPr>
        <w:t>4.2.6. Функция «Карточка региона».</w:t>
      </w:r>
    </w:p>
    <w:p>
      <w:pPr>
        <w:spacing w:after="60"/>
        <w:ind w:left="425" w:hanging="227"/>
      </w:pPr>
      <w:r>
        <w:t>– основные данные региона (название, округ, статус);</w:t>
      </w:r>
    </w:p>
    <w:p>
      <w:pPr>
        <w:spacing w:after="60"/>
        <w:ind w:left="425" w:hanging="227"/>
      </w:pPr>
      <w:r>
        <w:t>– численность — ввод и обновление;</w:t>
      </w:r>
    </w:p>
    <w:p>
      <w:pPr>
        <w:spacing w:after="60"/>
        <w:ind w:left="425" w:hanging="227"/>
      </w:pPr>
      <w:r>
        <w:t>– ссылки на сообщества и чаты — добавление, редактирование, удаление;</w:t>
      </w:r>
    </w:p>
    <w:p>
      <w:pPr>
        <w:spacing w:after="60"/>
        <w:ind w:left="425" w:hanging="227"/>
      </w:pPr>
      <w:r>
        <w:t>– члены — добавление, список, статусы;</w:t>
      </w:r>
    </w:p>
    <w:p>
      <w:pPr>
        <w:spacing w:after="60"/>
        <w:ind w:left="425" w:hanging="227"/>
      </w:pPr>
      <w:r>
        <w:t>– резиденты (активные члены) — добавление, список;</w:t>
      </w:r>
    </w:p>
    <w:p>
      <w:pPr>
        <w:spacing w:after="60"/>
        <w:ind w:left="425" w:hanging="227"/>
      </w:pPr>
      <w:r>
        <w:t>– история изменений карточки.</w:t>
      </w:r>
    </w:p>
    <w:p>
      <w:pPr>
        <w:jc w:val="both"/>
      </w:pPr>
      <w:r>
        <w:rPr>
          <w:b/>
        </w:rPr>
        <w:t>4.2.6.1. Права редактирования карточки региона (варианты).</w:t>
      </w:r>
    </w:p>
    <w:p>
      <w:pPr>
        <w:spacing w:before="80" w:after="80"/>
        <w:ind w:left="567"/>
      </w:pPr>
      <w:r>
        <w:rPr>
          <w:b/>
        </w:rPr>
        <w:t>Вариант 1 (рекомендуемый):</w:t>
      </w:r>
      <w:r>
        <w:t xml:space="preserve"> руководитель регионального отделения редактирует только карточку своего отделения; администратор — карточки всех отделений.</w:t>
      </w:r>
    </w:p>
    <w:p>
      <w:pPr>
        <w:spacing w:before="80" w:after="80"/>
        <w:ind w:left="567"/>
      </w:pPr>
      <w:r>
        <w:rPr>
          <w:b/>
        </w:rPr>
        <w:t>Вариант 2:</w:t>
      </w:r>
      <w:r>
        <w:t xml:space="preserve"> все авторизованные пользователи могут редактировать карточки любых региональных отделений (открытая модель).</w:t>
      </w:r>
    </w:p>
    <w:p>
      <w:pPr>
        <w:jc w:val="both"/>
      </w:pPr>
      <w:r>
        <w:rPr>
          <w:b/>
        </w:rPr>
        <w:t>4.2.7. Функция «Члены Организации».</w:t>
      </w:r>
    </w:p>
    <w:p>
      <w:pPr>
        <w:spacing w:after="60"/>
        <w:ind w:left="425" w:hanging="227"/>
      </w:pPr>
      <w:r>
        <w:t>– добавление членов и резидентов (активных членов);</w:t>
      </w:r>
    </w:p>
    <w:p>
      <w:pPr>
        <w:spacing w:after="60"/>
        <w:ind w:left="425" w:hanging="227"/>
      </w:pPr>
      <w:r>
        <w:t>– просмотр списков, поиск;</w:t>
      </w:r>
    </w:p>
    <w:p>
      <w:pPr>
        <w:spacing w:after="60"/>
        <w:ind w:left="425" w:hanging="227"/>
      </w:pPr>
      <w:r>
        <w:t>– учёт численности (общая и по категориям).</w:t>
      </w:r>
    </w:p>
    <w:p>
      <w:pPr>
        <w:jc w:val="both"/>
      </w:pPr>
      <w:r>
        <w:rPr>
          <w:b/>
        </w:rPr>
        <w:t>4.2.8. Функция «Артефакты».</w:t>
      </w:r>
    </w:p>
    <w:p>
      <w:pPr>
        <w:spacing w:after="60"/>
        <w:ind w:left="425" w:hanging="227"/>
      </w:pPr>
      <w:r>
        <w:t>– загрузка файлов с привязкой к региону / цели / задаче;</w:t>
      </w:r>
    </w:p>
    <w:p>
      <w:pPr>
        <w:spacing w:after="60"/>
        <w:ind w:left="425" w:hanging="227"/>
      </w:pPr>
      <w:r>
        <w:t>– список, скачивание, удаление.</w:t>
      </w:r>
    </w:p>
    <w:p>
      <w:pPr>
        <w:jc w:val="both"/>
      </w:pPr>
      <w:r>
        <w:rPr>
          <w:b/>
        </w:rPr>
        <w:t>4.2.8.1. Модель хранения артефактов (варианты).</w:t>
      </w:r>
    </w:p>
    <w:p>
      <w:pPr>
        <w:spacing w:before="80" w:after="80"/>
        <w:ind w:left="567"/>
      </w:pPr>
      <w:r>
        <w:rPr>
          <w:b/>
        </w:rPr>
        <w:t>Вариант 1 (рекомендуемый):</w:t>
      </w:r>
      <w:r>
        <w:t xml:space="preserve"> простая загрузка файлов (изображения, PDF, DOCX, XLSX, до 50 МБ на файл) с привязкой к объекту.</w:t>
      </w:r>
    </w:p>
    <w:p>
      <w:pPr>
        <w:spacing w:before="80" w:after="80"/>
        <w:ind w:left="567"/>
      </w:pPr>
      <w:r>
        <w:rPr>
          <w:b/>
        </w:rPr>
        <w:t>Вариант 2:</w:t>
      </w:r>
      <w:r>
        <w:t xml:space="preserve"> медиатека с категориями, тегами, поиском, версионированием файлов и контролем прав на скачивание.</w:t>
      </w:r>
    </w:p>
    <w:p>
      <w:pPr>
        <w:jc w:val="both"/>
      </w:pPr>
      <w:r>
        <w:rPr>
          <w:b/>
        </w:rPr>
        <w:t>4.2.9. Функция «Задачи» (трекер).</w:t>
      </w:r>
    </w:p>
    <w:p>
      <w:pPr>
        <w:spacing w:after="60"/>
        <w:ind w:left="425" w:hanging="227"/>
      </w:pPr>
      <w:r>
        <w:t>– создание задачи: название, описание, срок, приоритет, ответственный;</w:t>
      </w:r>
    </w:p>
    <w:p>
      <w:pPr>
        <w:spacing w:after="60"/>
        <w:ind w:left="425" w:hanging="227"/>
      </w:pPr>
      <w:r>
        <w:t>– назначение исполнителя (член Организации / отделение / роль);</w:t>
      </w:r>
    </w:p>
    <w:p>
      <w:pPr>
        <w:spacing w:after="60"/>
        <w:ind w:left="425" w:hanging="227"/>
      </w:pPr>
      <w:r>
        <w:t>– статусы: новая → в работе → на проверке → выполнена;</w:t>
      </w:r>
    </w:p>
    <w:p>
      <w:pPr>
        <w:spacing w:after="60"/>
        <w:ind w:left="425" w:hanging="227"/>
      </w:pPr>
      <w:r>
        <w:t>– комментарии, прикрепление артефактов;</w:t>
      </w:r>
    </w:p>
    <w:p>
      <w:pPr>
        <w:spacing w:after="60"/>
        <w:ind w:left="425" w:hanging="227"/>
      </w:pPr>
      <w:r>
        <w:t>– список задач с фильтрами (мои, по региону, просроченные).</w:t>
      </w:r>
    </w:p>
    <w:p>
      <w:pPr>
        <w:jc w:val="both"/>
      </w:pPr>
      <w:r>
        <w:rPr>
          <w:b/>
        </w:rPr>
        <w:t>4.2.9.1. Доступ к задачам (варианты).</w:t>
      </w:r>
    </w:p>
    <w:p>
      <w:pPr>
        <w:spacing w:before="80" w:after="80"/>
        <w:ind w:left="567"/>
      </w:pPr>
      <w:r>
        <w:rPr>
          <w:b/>
        </w:rPr>
        <w:t>Вариант 1 (рекомендуемый):</w:t>
      </w:r>
      <w:r>
        <w:t xml:space="preserve"> задачи доступны всем авторизованным членам Организации: каждый ведёт свои задачи; руководитель регионального отделения видит задачи своего отделения; администратор — все задачи.</w:t>
      </w:r>
    </w:p>
    <w:p>
      <w:pPr>
        <w:spacing w:before="80" w:after="80"/>
        <w:ind w:left="567"/>
      </w:pPr>
      <w:r>
        <w:rPr>
          <w:b/>
        </w:rPr>
        <w:t>Вариант 2:</w:t>
      </w:r>
      <w:r>
        <w:t xml:space="preserve"> задачи доступны только руководителям региональных отделений и администраторам (члены Организации задачи не ведут).</w:t>
      </w:r>
    </w:p>
    <w:p>
      <w:pPr>
        <w:jc w:val="both"/>
      </w:pPr>
      <w:r>
        <w:rPr>
          <w:b/>
        </w:rPr>
        <w:t>4.2.10. Функция «База знаний».</w:t>
      </w:r>
    </w:p>
    <w:p>
      <w:pPr>
        <w:spacing w:after="60"/>
        <w:ind w:left="425" w:hanging="227"/>
      </w:pPr>
      <w:r>
        <w:t>– статьи, инструкции, материалы Организации;</w:t>
      </w:r>
    </w:p>
    <w:p>
      <w:pPr>
        <w:spacing w:after="60"/>
        <w:ind w:left="425" w:hanging="227"/>
      </w:pPr>
      <w:r>
        <w:t>– категории, поиск.</w:t>
      </w:r>
    </w:p>
    <w:p>
      <w:pPr>
        <w:jc w:val="both"/>
      </w:pPr>
      <w:r>
        <w:rPr>
          <w:b/>
        </w:rPr>
        <w:t>4.2.11. Функция «Календарь событий».</w:t>
      </w:r>
    </w:p>
    <w:p>
      <w:pPr>
        <w:spacing w:after="60"/>
        <w:ind w:left="425" w:hanging="227"/>
      </w:pPr>
      <w:r>
        <w:t>– события Организации (мероприятия, вебинары, дедлайны);</w:t>
      </w:r>
    </w:p>
    <w:p>
      <w:pPr>
        <w:spacing w:after="60"/>
        <w:ind w:left="425" w:hanging="227"/>
      </w:pPr>
      <w:r>
        <w:t>– отображение по месяцам;</w:t>
      </w:r>
    </w:p>
    <w:p>
      <w:pPr>
        <w:spacing w:after="60"/>
        <w:ind w:left="425" w:hanging="227"/>
      </w:pPr>
      <w:r>
        <w:t>– напоминания через бота.</w:t>
      </w:r>
    </w:p>
    <w:p>
      <w:pPr>
        <w:jc w:val="both"/>
      </w:pPr>
      <w:r>
        <w:rPr>
          <w:b/>
        </w:rPr>
        <w:t>4.2.12. Функция «Запросы».</w:t>
      </w:r>
    </w:p>
    <w:p>
      <w:pPr>
        <w:spacing w:after="60"/>
        <w:ind w:left="425" w:hanging="227"/>
      </w:pPr>
      <w:r>
        <w:t>– заявки членов Организации (на вступление, на доступ, на участие в мероприятиях, на поддержку);</w:t>
      </w:r>
    </w:p>
    <w:p>
      <w:pPr>
        <w:spacing w:after="60"/>
        <w:ind w:left="425" w:hanging="227"/>
      </w:pPr>
      <w:r>
        <w:t>– статусы обработки, ответы.</w:t>
      </w:r>
    </w:p>
    <w:p>
      <w:pPr>
        <w:jc w:val="both"/>
      </w:pPr>
      <w:r>
        <w:rPr>
          <w:b/>
        </w:rPr>
        <w:t>4.2.13. Функция «История платформы».</w:t>
      </w:r>
    </w:p>
    <w:p>
      <w:pPr>
        <w:jc w:val="both"/>
      </w:pPr>
      <w:r>
        <w:rPr>
          <w:b/>
        </w:rPr>
        <w:t>4.2.13.1. Содержание раздела (варианты).</w:t>
      </w:r>
    </w:p>
    <w:p>
      <w:pPr>
        <w:spacing w:before="80" w:after="80"/>
        <w:ind w:left="567"/>
      </w:pPr>
      <w:r>
        <w:rPr>
          <w:b/>
        </w:rPr>
        <w:t>Вариант 1 (рекомендуемый):</w:t>
      </w:r>
      <w:r>
        <w:t xml:space="preserve"> публичная лента новостей и достижений платформы (хронология событий, доступна всем пользователям).</w:t>
      </w:r>
    </w:p>
    <w:p>
      <w:pPr>
        <w:spacing w:before="80" w:after="80"/>
        <w:ind w:left="567"/>
      </w:pPr>
      <w:r>
        <w:rPr>
          <w:b/>
        </w:rPr>
        <w:t>Вариант 2:</w:t>
      </w:r>
      <w:r>
        <w:t xml:space="preserve"> внутренний журнал изменений Системы (аудит-лог), доступен только администраторам.</w:t>
      </w:r>
    </w:p>
    <w:p>
      <w:pPr>
        <w:jc w:val="both"/>
      </w:pPr>
      <w:r>
        <w:rPr>
          <w:b/>
        </w:rPr>
        <w:t>4.2.14. Функция «Ассистент "Зам"».</w:t>
      </w:r>
    </w:p>
    <w:p>
      <w:pPr>
        <w:jc w:val="both"/>
      </w:pPr>
      <w:r>
        <w:rPr>
          <w:b/>
        </w:rPr>
        <w:t>4.2.14.1. Модель ассистента (варианты).</w:t>
      </w:r>
    </w:p>
    <w:p>
      <w:pPr>
        <w:spacing w:before="80" w:after="80"/>
        <w:ind w:left="567"/>
      </w:pPr>
      <w:r>
        <w:rPr>
          <w:b/>
        </w:rPr>
        <w:t>Вариант 1 (рекомендуемый):</w:t>
      </w:r>
      <w:r>
        <w:t xml:space="preserve"> AI-ассистент — программный агент на базе технологий искусственного интеллекта. Подключается к личному кабинету владельца; по командам владельца публикует информацию от его имени: заполняет карточку региона, загружает данные для рейтинга, выкладывает артефакты, создаёт задачи. Требования:</w:t>
      </w:r>
    </w:p>
    <w:p>
      <w:pPr>
        <w:spacing w:after="40"/>
        <w:ind w:left="850" w:hanging="227"/>
      </w:pPr>
      <w:r>
        <w:t>– ассистент действует в рамках прав владельца (не выше);</w:t>
      </w:r>
    </w:p>
    <w:p>
      <w:pPr>
        <w:spacing w:after="40"/>
        <w:ind w:left="850" w:hanging="227"/>
      </w:pPr>
      <w:r>
        <w:t>– все действия ассистента фиксируются в журнале и доступны владельцу;</w:t>
      </w:r>
    </w:p>
    <w:p>
      <w:pPr>
        <w:spacing w:after="40"/>
        <w:ind w:left="850" w:hanging="227"/>
      </w:pPr>
      <w:r>
        <w:t>– владелец может отключить ассистента или ограничить его действия (например, только публикация, без удаления);</w:t>
      </w:r>
    </w:p>
    <w:p>
      <w:pPr>
        <w:spacing w:after="40"/>
        <w:ind w:left="850" w:hanging="227"/>
      </w:pPr>
      <w:r>
        <w:t>– подключение — через настройки кабинета с подтверждением владельца.</w:t>
      </w:r>
    </w:p>
    <w:p>
      <w:pPr>
        <w:spacing w:before="80" w:after="80"/>
        <w:ind w:left="567"/>
      </w:pPr>
      <w:r>
        <w:rPr>
          <w:b/>
        </w:rPr>
        <w:t>Вариант 2:</w:t>
      </w:r>
      <w:r>
        <w:t xml:space="preserve"> живой заместитель — отдельная роль «Заместитель» (человек). Владелец кабинета выдаёт заместителю права на публикацию информации от своего имени. Требования:</w:t>
      </w:r>
    </w:p>
    <w:p>
      <w:pPr>
        <w:spacing w:after="40"/>
        <w:ind w:left="850" w:hanging="227"/>
      </w:pPr>
      <w:r>
        <w:t>– назначение заместителя — владельцем кабинета или администратором;</w:t>
      </w:r>
    </w:p>
    <w:p>
      <w:pPr>
        <w:spacing w:after="40"/>
        <w:ind w:left="850" w:hanging="227"/>
      </w:pPr>
      <w:r>
        <w:t>– действия заместителя журналируются;</w:t>
      </w:r>
    </w:p>
    <w:p>
      <w:pPr>
        <w:spacing w:after="40"/>
        <w:ind w:left="850" w:hanging="227"/>
      </w:pPr>
      <w:r>
        <w:t>– владелец может отозвать права в любой момент.</w:t>
      </w:r>
    </w:p>
    <w:p>
      <w:pPr>
        <w:pStyle w:val="Heading2"/>
      </w:pPr>
      <w:r>
        <w:t>4.3. Требования к видам обеспечения</w:t>
      </w:r>
    </w:p>
    <w:p>
      <w:pPr>
        <w:jc w:val="both"/>
      </w:pPr>
      <w:r>
        <w:rPr>
          <w:b/>
        </w:rPr>
        <w:t>4.3.1. Математическое обеспечение.</w:t>
      </w:r>
    </w:p>
    <w:p>
      <w:pPr>
        <w:spacing w:after="60"/>
        <w:ind w:left="425" w:hanging="227"/>
      </w:pPr>
      <w:r>
        <w:t>– алгоритм расчёта накопительного прироста от «точки 0»: прирост = значение текущего среза − значение точки 0;</w:t>
      </w:r>
    </w:p>
    <w:p>
      <w:pPr>
        <w:spacing w:after="60"/>
        <w:ind w:left="425" w:hanging="227"/>
      </w:pPr>
      <w:r>
        <w:t>– алгоритм определения динамики региона/округа (наличие положительного прироста за период);</w:t>
      </w:r>
    </w:p>
    <w:p>
      <w:pPr>
        <w:spacing w:after="60"/>
        <w:ind w:left="425" w:hanging="227"/>
      </w:pPr>
      <w:r>
        <w:t>– алгоритм расчёта вклада округа в общую цель (сумма приростов регионов округа);</w:t>
      </w:r>
    </w:p>
    <w:p>
      <w:pPr>
        <w:spacing w:after="60"/>
        <w:ind w:left="425" w:hanging="227"/>
      </w:pPr>
      <w:r>
        <w:t>– алгоритм определения «свежести» выгрузки (не старше 7 дней);</w:t>
      </w:r>
    </w:p>
    <w:p>
      <w:pPr>
        <w:spacing w:after="60"/>
        <w:ind w:left="425" w:hanging="227"/>
      </w:pPr>
      <w:r>
        <w:t>– (вариант) алгоритм комплексного рейтинга (п. 4.2.5.1, Вариант 2).</w:t>
      </w:r>
    </w:p>
    <w:p>
      <w:pPr>
        <w:jc w:val="both"/>
      </w:pPr>
      <w:r>
        <w:rPr>
          <w:b/>
        </w:rPr>
        <w:t>4.3.2. Информационное обеспечение.</w:t>
      </w:r>
    </w:p>
    <w:p>
      <w:pPr>
        <w:spacing w:after="60"/>
        <w:ind w:left="425" w:hanging="227"/>
      </w:pPr>
      <w:r>
        <w:t>– справочники: регионы (89), федеральные округа (8), роли пользователей, типы целей, типы рассылок, статусы задач, статусы запросов;</w:t>
      </w:r>
    </w:p>
    <w:p>
      <w:pPr>
        <w:spacing w:after="60"/>
        <w:ind w:left="425" w:hanging="227"/>
      </w:pPr>
      <w:r>
        <w:t>– данные целей: «точка 0» (дата и значение), текущий срез (дата и значение), история срезов;</w:t>
      </w:r>
    </w:p>
    <w:p>
      <w:pPr>
        <w:spacing w:after="60"/>
        <w:ind w:left="425" w:hanging="227"/>
      </w:pPr>
      <w:r>
        <w:t>– данные региональных отделений: карточка отделения, численность, члены, ссылки на сообщества и чаты;</w:t>
      </w:r>
    </w:p>
    <w:p>
      <w:pPr>
        <w:spacing w:after="60"/>
        <w:ind w:left="425" w:hanging="227"/>
      </w:pPr>
      <w:r>
        <w:t>– артефакты: файлы с метаданными (тип, размер, автор, дата, привязка);</w:t>
      </w:r>
    </w:p>
    <w:p>
      <w:pPr>
        <w:spacing w:after="60"/>
        <w:ind w:left="425" w:hanging="227"/>
      </w:pPr>
      <w:r>
        <w:t>– задачи: атрибуты и статусы;</w:t>
      </w:r>
    </w:p>
    <w:p>
      <w:pPr>
        <w:spacing w:after="60"/>
        <w:ind w:left="425" w:hanging="227"/>
      </w:pPr>
      <w:r>
        <w:t>– советы регионов: текст, автор, регион, цель, дата;</w:t>
      </w:r>
    </w:p>
    <w:p>
      <w:pPr>
        <w:spacing w:after="60"/>
        <w:ind w:left="425" w:hanging="227"/>
      </w:pPr>
      <w:r>
        <w:t>– журналы: действий пользователей, действий ассистента, рассылок.</w:t>
      </w:r>
    </w:p>
    <w:p>
      <w:pPr>
        <w:jc w:val="both"/>
      </w:pPr>
      <w:r>
        <w:rPr>
          <w:b/>
        </w:rPr>
        <w:t>4.3.3. Лингвистическое обеспечение.</w:t>
      </w:r>
    </w:p>
    <w:p>
      <w:pPr>
        <w:spacing w:after="60"/>
        <w:ind w:left="425" w:hanging="227"/>
      </w:pPr>
      <w:r>
        <w:t>– язык интерфейса — русский;</w:t>
      </w:r>
    </w:p>
    <w:p>
      <w:pPr>
        <w:spacing w:after="60"/>
        <w:ind w:left="425" w:hanging="227"/>
      </w:pPr>
      <w:r>
        <w:t>– единая терминология: «точка 0», «текущий срез», «прирост», «динамика», «красная зона», «вклад округа», «фокус целей»;</w:t>
      </w:r>
    </w:p>
    <w:p>
      <w:pPr>
        <w:spacing w:after="60"/>
        <w:ind w:left="425" w:hanging="227"/>
      </w:pPr>
      <w:r>
        <w:t>– тексты сообщений бота — в едином стиле, с персональными вставками (регион, ФИО, числа).</w:t>
      </w:r>
    </w:p>
    <w:p>
      <w:pPr>
        <w:jc w:val="both"/>
      </w:pPr>
      <w:r>
        <w:rPr>
          <w:b/>
        </w:rPr>
        <w:t>4.3.4. Программное обеспечение.</w:t>
      </w:r>
    </w:p>
    <w:p>
      <w:pPr>
        <w:spacing w:after="60"/>
        <w:ind w:left="425" w:hanging="227"/>
      </w:pPr>
      <w:r>
        <w:t>– серверная часть: API (REST), СУБД (реляционная), очередь сообщений для рассылок (при Варианте 2 п. 4.1.13.1);</w:t>
      </w:r>
    </w:p>
    <w:p>
      <w:pPr>
        <w:spacing w:after="60"/>
        <w:ind w:left="425" w:hanging="227"/>
      </w:pPr>
      <w:r>
        <w:t>– веб-клиент: адаптивная вёрстка (mobile-first), поддержка Chrome и Safari;</w:t>
      </w:r>
    </w:p>
    <w:p>
      <w:pPr>
        <w:spacing w:after="60"/>
        <w:ind w:left="425" w:hanging="227"/>
      </w:pPr>
      <w:r>
        <w:t>– бот: адаптеры Telegram Bot API и (вариант) MAX Bot API;</w:t>
      </w:r>
    </w:p>
    <w:p>
      <w:pPr>
        <w:spacing w:after="60"/>
        <w:ind w:left="425" w:hanging="227"/>
      </w:pPr>
      <w:r>
        <w:t>– (вариант) модуль AI-ассистента: интеграция с LLM-провайдером через API;</w:t>
      </w:r>
    </w:p>
    <w:p>
      <w:pPr>
        <w:spacing w:after="60"/>
        <w:ind w:left="425" w:hanging="227"/>
      </w:pPr>
      <w:r>
        <w:t>– состав конкретного ПО определяется на этапе технического проектирования.</w:t>
      </w:r>
    </w:p>
    <w:p>
      <w:pPr>
        <w:jc w:val="both"/>
      </w:pPr>
      <w:r>
        <w:rPr>
          <w:b/>
        </w:rPr>
        <w:t>4.3.5. Техническое обеспечение.</w:t>
      </w:r>
    </w:p>
    <w:p>
      <w:pPr>
        <w:spacing w:after="60"/>
        <w:ind w:left="425" w:hanging="227"/>
      </w:pPr>
      <w:r>
        <w:t>– серверное оборудование — в соответствии с выбранным вариантом масштаба (п. 4.1.13.1);</w:t>
      </w:r>
    </w:p>
    <w:p>
      <w:pPr>
        <w:spacing w:after="60"/>
        <w:ind w:left="425" w:hanging="227"/>
      </w:pPr>
      <w:r>
        <w:t>– требования к клиентским устройствам: смартфон с современным браузером, ПК — не ниже типовых офисных конфигураций;</w:t>
      </w:r>
    </w:p>
    <w:p>
      <w:pPr>
        <w:spacing w:after="60"/>
        <w:ind w:left="425" w:hanging="227"/>
      </w:pPr>
      <w:r>
        <w:t>– хостинг — на территории Российской Федерации.</w:t>
      </w:r>
    </w:p>
    <w:p>
      <w:pPr>
        <w:jc w:val="both"/>
      </w:pPr>
      <w:r>
        <w:rPr>
          <w:b/>
        </w:rPr>
        <w:t>4.3.6. Метрологическое обеспечение.</w:t>
      </w:r>
    </w:p>
    <w:p>
      <w:pPr>
        <w:jc w:val="both"/>
      </w:pPr>
      <w:r>
        <w:t>Система не выполняет измерительных функций; метрологическое обеспечение не требуется.</w:t>
      </w:r>
    </w:p>
    <w:p>
      <w:pPr>
        <w:jc w:val="both"/>
      </w:pPr>
      <w:r>
        <w:rPr>
          <w:b/>
        </w:rPr>
        <w:t>4.3.7. Организационное обеспечение.</w:t>
      </w:r>
    </w:p>
    <w:p>
      <w:pPr>
        <w:spacing w:after="60"/>
        <w:ind w:left="425" w:hanging="227"/>
      </w:pPr>
      <w:r>
        <w:t>– регламент выдачи одноразовых ссылок координаторами;</w:t>
      </w:r>
    </w:p>
    <w:p>
      <w:pPr>
        <w:spacing w:after="60"/>
        <w:ind w:left="425" w:hanging="227"/>
      </w:pPr>
      <w:r>
        <w:t>– регламент проведения рассылок;</w:t>
      </w:r>
    </w:p>
    <w:p>
      <w:pPr>
        <w:spacing w:after="60"/>
        <w:ind w:left="425" w:hanging="227"/>
      </w:pPr>
      <w:r>
        <w:t>– регламент загрузки и обновления выгрузок данных;</w:t>
      </w:r>
    </w:p>
    <w:p>
      <w:pPr>
        <w:spacing w:after="60"/>
        <w:ind w:left="425" w:hanging="227"/>
      </w:pPr>
      <w:r>
        <w:t>– должностные инструкции администратора и координатора.</w:t>
      </w:r>
    </w:p>
    <w:p>
      <w:pPr>
        <w:jc w:val="both"/>
      </w:pPr>
      <w:r>
        <w:rPr>
          <w:b/>
        </w:rPr>
        <w:t>4.3.8. Методическое обеспечение.</w:t>
      </w:r>
    </w:p>
    <w:p>
      <w:pPr>
        <w:spacing w:after="60"/>
        <w:ind w:left="425" w:hanging="227"/>
      </w:pPr>
      <w:r>
        <w:t>– методика работы руководителя регионального отделения с целями и рейтингами;</w:t>
      </w:r>
    </w:p>
    <w:p>
      <w:pPr>
        <w:spacing w:after="60"/>
        <w:ind w:left="425" w:hanging="227"/>
      </w:pPr>
      <w:r>
        <w:t>– методика формирования «Советов от регионов»;</w:t>
      </w:r>
    </w:p>
    <w:p>
      <w:pPr>
        <w:spacing w:after="60"/>
        <w:ind w:left="425" w:hanging="227"/>
      </w:pPr>
      <w:r>
        <w:t>– (вариант) методика работы с AI-ассистентом «Зам».</w:t>
      </w:r>
    </w:p>
    <w:p>
      <w:pPr>
        <w:pStyle w:val="Heading1"/>
      </w:pPr>
      <w:r>
        <w:t>5. Состав и содержание работ по созданию системы</w:t>
      </w:r>
    </w:p>
    <w:p>
      <w:pPr>
        <w:keepNext/>
        <w:spacing w:before="200" w:after="80"/>
      </w:pPr>
      <w:r>
        <w:t>Таблица 4 — Состав и содержание работ по созданию системы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230"/>
        <w:gridCol w:w="3230"/>
        <w:gridCol w:w="3230"/>
      </w:tblGrid>
      <w:tr>
        <w:tc>
          <w:tcPr>
            <w:tcW w:type="dxa" w:w="1871"/>
            <w:shd w:val="clear" w:color="auto" w:fill="D9D9D9"/>
            <w:vAlign w:val="center"/>
          </w:tcPr>
          <w:p>
            <w:pPr>
              <w:spacing w:after="40" w:line="240" w:lineRule="auto"/>
              <w:jc w:val="center"/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  <w:t>Этап (по ГОСТ 34.601-2020)</w:t>
            </w:r>
          </w:p>
        </w:tc>
        <w:tc>
          <w:tcPr>
            <w:tcW w:type="dxa" w:w="5757"/>
            <w:shd w:val="clear" w:color="auto" w:fill="D9D9D9"/>
            <w:vAlign w:val="center"/>
          </w:tcPr>
          <w:p>
            <w:pPr>
              <w:spacing w:after="40" w:line="240" w:lineRule="auto"/>
              <w:jc w:val="center"/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  <w:t>Содержание работ</w:t>
            </w:r>
          </w:p>
        </w:tc>
        <w:tc>
          <w:tcPr>
            <w:tcW w:type="dxa" w:w="1727"/>
            <w:shd w:val="clear" w:color="auto" w:fill="D9D9D9"/>
            <w:vAlign w:val="center"/>
          </w:tcPr>
          <w:p>
            <w:pPr>
              <w:spacing w:after="40" w:line="240" w:lineRule="auto"/>
              <w:jc w:val="center"/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  <w:t>Результат</w:t>
            </w:r>
          </w:p>
        </w:tc>
      </w:tr>
      <w:tr>
        <w:tc>
          <w:tcPr>
            <w:tcW w:type="dxa" w:w="1871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1. Формирование требований</w:t>
            </w:r>
          </w:p>
        </w:tc>
        <w:tc>
          <w:tcPr>
            <w:tcW w:type="dxa" w:w="5757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Обследование объекта автоматизации, анализ референсной платформы, утверждение ТЗ</w:t>
            </w:r>
          </w:p>
        </w:tc>
        <w:tc>
          <w:tcPr>
            <w:tcW w:type="dxa" w:w="1727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Утверждённое ТЗ</w:t>
            </w:r>
          </w:p>
        </w:tc>
      </w:tr>
      <w:tr>
        <w:tc>
          <w:tcPr>
            <w:tcW w:type="dxa" w:w="1871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2. Разработка концепции</w:t>
            </w:r>
          </w:p>
        </w:tc>
        <w:tc>
          <w:tcPr>
            <w:tcW w:type="dxa" w:w="5757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Выбор варианта реализации (по пп. 4.1.13, 4.2), оценка стоимости</w:t>
            </w:r>
          </w:p>
        </w:tc>
        <w:tc>
          <w:tcPr>
            <w:tcW w:type="dxa" w:w="1727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Концепция, план</w:t>
            </w:r>
          </w:p>
        </w:tc>
      </w:tr>
      <w:tr>
        <w:tc>
          <w:tcPr>
            <w:tcW w:type="dxa" w:w="1871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3. Техническое задание</w:t>
            </w:r>
          </w:p>
        </w:tc>
        <w:tc>
          <w:tcPr>
            <w:tcW w:type="dxa" w:w="5757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Настоящий документ</w:t>
            </w:r>
          </w:p>
        </w:tc>
        <w:tc>
          <w:tcPr>
            <w:tcW w:type="dxa" w:w="1727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ТЗ</w:t>
            </w:r>
          </w:p>
        </w:tc>
      </w:tr>
      <w:tr>
        <w:tc>
          <w:tcPr>
            <w:tcW w:type="dxa" w:w="1871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4. Эскизный проект</w:t>
            </w:r>
          </w:p>
        </w:tc>
        <w:tc>
          <w:tcPr>
            <w:tcW w:type="dxa" w:w="5757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Архитектура, макеты экранов, прототип бота</w:t>
            </w:r>
          </w:p>
        </w:tc>
        <w:tc>
          <w:tcPr>
            <w:tcW w:type="dxa" w:w="1727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Эскизный проект</w:t>
            </w:r>
          </w:p>
        </w:tc>
      </w:tr>
      <w:tr>
        <w:tc>
          <w:tcPr>
            <w:tcW w:type="dxa" w:w="1871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5. Технический проект</w:t>
            </w:r>
          </w:p>
        </w:tc>
        <w:tc>
          <w:tcPr>
            <w:tcW w:type="dxa" w:w="5757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Проектные решения по подсистемам, структура БД, API</w:t>
            </w:r>
          </w:p>
        </w:tc>
        <w:tc>
          <w:tcPr>
            <w:tcW w:type="dxa" w:w="1727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Технический проект</w:t>
            </w:r>
          </w:p>
        </w:tc>
      </w:tr>
      <w:tr>
        <w:tc>
          <w:tcPr>
            <w:tcW w:type="dxa" w:w="1871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6. Рабочая документация</w:t>
            </w:r>
          </w:p>
        </w:tc>
        <w:tc>
          <w:tcPr>
            <w:tcW w:type="dxa" w:w="5757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Разработка ПО, вёрстка, настройка бота, документация</w:t>
            </w:r>
          </w:p>
        </w:tc>
        <w:tc>
          <w:tcPr>
            <w:tcW w:type="dxa" w:w="1727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Рабочая документация, ПО</w:t>
            </w:r>
          </w:p>
        </w:tc>
      </w:tr>
      <w:tr>
        <w:tc>
          <w:tcPr>
            <w:tcW w:type="dxa" w:w="1871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7. Ввод в действие</w:t>
            </w:r>
          </w:p>
        </w:tc>
        <w:tc>
          <w:tcPr>
            <w:tcW w:type="dxa" w:w="5757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Подготовка данных, обучение, опытная эксплуатация, приёмка</w:t>
            </w:r>
          </w:p>
        </w:tc>
        <w:tc>
          <w:tcPr>
            <w:tcW w:type="dxa" w:w="1727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Акт ввода в действие</w:t>
            </w:r>
          </w:p>
        </w:tc>
      </w:tr>
      <w:tr>
        <w:tc>
          <w:tcPr>
            <w:tcW w:type="dxa" w:w="1871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8. Сопровождение</w:t>
            </w:r>
          </w:p>
        </w:tc>
        <w:tc>
          <w:tcPr>
            <w:tcW w:type="dxa" w:w="5757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Исправление ошибок, развитие</w:t>
            </w:r>
          </w:p>
        </w:tc>
        <w:tc>
          <w:tcPr>
            <w:tcW w:type="dxa" w:w="1727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Регламент сопровождения</w:t>
            </w:r>
          </w:p>
        </w:tc>
      </w:tr>
    </w:tbl>
    <w:p>
      <w:pPr>
        <w:spacing w:after="120"/>
      </w:pPr>
      <w:r>
        <w:rPr>
          <w:sz w:val="4"/>
        </w:rPr>
      </w:r>
    </w:p>
    <w:p>
      <w:pPr>
        <w:pStyle w:val="Heading1"/>
      </w:pPr>
      <w:r>
        <w:t>6. Порядок контроля и приемки системы</w:t>
      </w:r>
    </w:p>
    <w:p>
      <w:pPr>
        <w:jc w:val="both"/>
      </w:pPr>
      <w:r>
        <w:rPr>
          <w:b/>
        </w:rPr>
        <w:t>6.1.</w:t>
      </w:r>
      <w:r>
        <w:t xml:space="preserve"> Виды испытаний:</w:t>
      </w:r>
    </w:p>
    <w:p>
      <w:pPr>
        <w:spacing w:after="60"/>
        <w:ind w:left="425" w:hanging="227"/>
      </w:pPr>
      <w:r>
        <w:t xml:space="preserve">– </w:t>
      </w:r>
      <w:r>
        <w:rPr>
          <w:b/>
        </w:rPr>
        <w:t>предварительные испытания</w:t>
      </w:r>
      <w:r>
        <w:t xml:space="preserve"> — после завершения разработки, на тестовых данных;</w:t>
      </w:r>
    </w:p>
    <w:p>
      <w:pPr>
        <w:spacing w:after="60"/>
        <w:ind w:left="425" w:hanging="227"/>
      </w:pPr>
      <w:r>
        <w:t xml:space="preserve">– </w:t>
      </w:r>
      <w:r>
        <w:rPr>
          <w:b/>
        </w:rPr>
        <w:t>опытная эксплуатация</w:t>
      </w:r>
      <w:r>
        <w:t xml:space="preserve"> — продолжительностью не менее 30 дней, на реальных данных (пилотные регионы);</w:t>
      </w:r>
    </w:p>
    <w:p>
      <w:pPr>
        <w:spacing w:after="60"/>
        <w:ind w:left="425" w:hanging="227"/>
      </w:pPr>
      <w:r>
        <w:t xml:space="preserve">– </w:t>
      </w:r>
      <w:r>
        <w:rPr>
          <w:b/>
        </w:rPr>
        <w:t>приёмочные испытания</w:t>
      </w:r>
      <w:r>
        <w:t xml:space="preserve"> — после успешной опытной эксплуатации.</w:t>
      </w:r>
    </w:p>
    <w:p>
      <w:pPr>
        <w:jc w:val="both"/>
      </w:pPr>
      <w:r>
        <w:rPr>
          <w:b/>
        </w:rPr>
        <w:t>6.2.</w:t>
      </w:r>
      <w:r>
        <w:t xml:space="preserve"> Приёмка осуществляется комиссией заказчика с участием разработчика.</w:t>
      </w:r>
    </w:p>
    <w:p>
      <w:pPr>
        <w:jc w:val="both"/>
      </w:pPr>
      <w:r>
        <w:rPr>
          <w:b/>
        </w:rPr>
        <w:t>6.3.</w:t>
      </w:r>
      <w:r>
        <w:t xml:space="preserve"> Критерии приёмки:</w:t>
      </w:r>
    </w:p>
    <w:p>
      <w:pPr>
        <w:spacing w:after="60"/>
        <w:ind w:left="425" w:hanging="227"/>
      </w:pPr>
      <w:r>
        <w:t>– реализованы все функции, закреплённые в разделе 4 настоящего ТЗ (по выбранным вариантам);</w:t>
      </w:r>
    </w:p>
    <w:p>
      <w:pPr>
        <w:spacing w:after="60"/>
        <w:ind w:left="425" w:hanging="227"/>
      </w:pPr>
      <w:r>
        <w:t>– показатели назначения (п. 4.1.3) достигнуты;</w:t>
      </w:r>
    </w:p>
    <w:p>
      <w:pPr>
        <w:spacing w:after="60"/>
        <w:ind w:left="425" w:hanging="227"/>
      </w:pPr>
      <w:r>
        <w:t>– замечания опытной эксплуатации устранены;</w:t>
      </w:r>
    </w:p>
    <w:p>
      <w:pPr>
        <w:spacing w:after="60"/>
        <w:ind w:left="425" w:hanging="227"/>
      </w:pPr>
      <w:r>
        <w:t>– документация передана в соответствии с разделом 8.</w:t>
      </w:r>
    </w:p>
    <w:p>
      <w:pPr>
        <w:jc w:val="both"/>
      </w:pPr>
      <w:r>
        <w:rPr>
          <w:b/>
        </w:rPr>
        <w:t>6.4.</w:t>
      </w:r>
      <w:r>
        <w:t xml:space="preserve"> Результаты испытаний оформляются актами по ГОСТ 34.603-2021.</w:t>
      </w:r>
    </w:p>
    <w:p>
      <w:pPr>
        <w:pStyle w:val="Heading1"/>
      </w:pPr>
      <w:r>
        <w:t>7. Требования к составу и содержанию работ по подготовке объекта автоматизации к вводу системы в действие</w:t>
      </w:r>
    </w:p>
    <w:p>
      <w:pPr>
        <w:spacing w:after="60"/>
        <w:ind w:left="425" w:hanging="227"/>
      </w:pPr>
      <w:r>
        <w:t>– подготовка исходных данных: справочник регионов и округов, «точка 0» и стартовые срезы по целям, база членов Организации;</w:t>
      </w:r>
    </w:p>
    <w:p>
      <w:pPr>
        <w:spacing w:after="60"/>
        <w:ind w:left="425" w:hanging="227"/>
      </w:pPr>
      <w:r>
        <w:t>– регистрация бота в Telegram и (вариант) MAX, настройка домена (заполняется при утверждении ТЗ);</w:t>
      </w:r>
    </w:p>
    <w:p>
      <w:pPr>
        <w:spacing w:after="60"/>
        <w:ind w:left="425" w:hanging="227"/>
      </w:pPr>
      <w:r>
        <w:t>– назначение администраторов и координаторов;</w:t>
      </w:r>
    </w:p>
    <w:p>
      <w:pPr>
        <w:spacing w:after="60"/>
        <w:ind w:left="425" w:hanging="227"/>
      </w:pPr>
      <w:r>
        <w:t>– обучение персонала: администраторов, координаторов, руководителей региональных отделений (вебинары + инструкции);</w:t>
      </w:r>
    </w:p>
    <w:p>
      <w:pPr>
        <w:spacing w:after="60"/>
        <w:ind w:left="425" w:hanging="227"/>
      </w:pPr>
      <w:r>
        <w:t>– разработка регламентов (п. 4.3.7);</w:t>
      </w:r>
    </w:p>
    <w:p>
      <w:pPr>
        <w:spacing w:after="60"/>
        <w:ind w:left="425" w:hanging="227"/>
      </w:pPr>
      <w:r>
        <w:t>– план переноса данных из действующих учётных систем Организации (при наличии).</w:t>
      </w:r>
    </w:p>
    <w:p>
      <w:pPr>
        <w:pStyle w:val="Heading1"/>
      </w:pPr>
      <w:r>
        <w:t>8. Требования к документированию</w:t>
      </w:r>
    </w:p>
    <w:p>
      <w:pPr>
        <w:jc w:val="both"/>
      </w:pPr>
      <w:r>
        <w:t>Состав документации:</w:t>
      </w:r>
    </w:p>
    <w:p>
      <w:pPr>
        <w:spacing w:after="60"/>
        <w:ind w:left="425" w:hanging="227"/>
      </w:pPr>
      <w:r>
        <w:t>– руководство пользователя (сайт);</w:t>
      </w:r>
    </w:p>
    <w:p>
      <w:pPr>
        <w:spacing w:after="60"/>
        <w:ind w:left="425" w:hanging="227"/>
      </w:pPr>
      <w:r>
        <w:t>– руководство пользователя (бот);</w:t>
      </w:r>
    </w:p>
    <w:p>
      <w:pPr>
        <w:spacing w:after="60"/>
        <w:ind w:left="425" w:hanging="227"/>
      </w:pPr>
      <w:r>
        <w:t>– руководство администратора;</w:t>
      </w:r>
    </w:p>
    <w:p>
      <w:pPr>
        <w:spacing w:after="60"/>
        <w:ind w:left="425" w:hanging="227"/>
      </w:pPr>
      <w:r>
        <w:t>– руководство координатора;</w:t>
      </w:r>
    </w:p>
    <w:p>
      <w:pPr>
        <w:spacing w:after="60"/>
        <w:ind w:left="425" w:hanging="227"/>
      </w:pPr>
      <w:r>
        <w:t>– регламент рассылок;</w:t>
      </w:r>
    </w:p>
    <w:p>
      <w:pPr>
        <w:spacing w:after="60"/>
        <w:ind w:left="425" w:hanging="227"/>
      </w:pPr>
      <w:r>
        <w:t>– регламент выгрузок данных;</w:t>
      </w:r>
    </w:p>
    <w:p>
      <w:pPr>
        <w:spacing w:after="60"/>
        <w:ind w:left="425" w:hanging="227"/>
      </w:pPr>
      <w:r>
        <w:t>– (вариант) руководство по работе с AI-ассистентом «Зам»;</w:t>
      </w:r>
    </w:p>
    <w:p>
      <w:pPr>
        <w:spacing w:after="60"/>
        <w:ind w:left="425" w:hanging="227"/>
      </w:pPr>
      <w:r>
        <w:t>– протоколы и акты испытаний.</w:t>
      </w:r>
    </w:p>
    <w:p>
      <w:pPr>
        <w:jc w:val="both"/>
      </w:pPr>
      <w:r>
        <w:t>Документация разрабатывается в соответствии с ГОСТ 19.201-78 и ГОСТ 34.201-2020.</w:t>
      </w:r>
    </w:p>
    <w:p>
      <w:pPr>
        <w:pStyle w:val="Heading1"/>
      </w:pPr>
      <w:r>
        <w:t>9. Источники разработки</w:t>
      </w:r>
    </w:p>
    <w:p>
      <w:pPr>
        <w:spacing w:after="60"/>
        <w:ind w:left="425" w:hanging="227"/>
      </w:pPr>
      <w:r>
        <w:t>1. Описание заказчика (краткое описание платформы, назначение, сценарии использования).</w:t>
      </w:r>
    </w:p>
    <w:p>
      <w:pPr>
        <w:spacing w:after="60"/>
        <w:ind w:left="425" w:hanging="227"/>
      </w:pPr>
      <w:r>
        <w:t>2. Материалы обследования аналогичной действующей платформы (референс функциональности): скриншоты сайта `rmpred.ru` и бота `@pmpred_bot` (Приложение Б).</w:t>
      </w:r>
    </w:p>
    <w:p>
      <w:pPr>
        <w:spacing w:after="60"/>
        <w:ind w:left="425" w:hanging="227"/>
      </w:pPr>
      <w:r>
        <w:t>3. ГОСТ 34.601-2020 «Стадии создания автоматизированных систем».</w:t>
      </w:r>
    </w:p>
    <w:p>
      <w:pPr>
        <w:spacing w:after="60"/>
        <w:ind w:left="425" w:hanging="227"/>
      </w:pPr>
      <w:r>
        <w:t>4. ГОСТ 34.602-2020 «Техническое задание на создание автоматизированной системы».</w:t>
      </w:r>
    </w:p>
    <w:p>
      <w:pPr>
        <w:spacing w:after="60"/>
        <w:ind w:left="425" w:hanging="227"/>
      </w:pPr>
      <w:r>
        <w:t>5. ГОСТ 34.603-2021 «Виды испытаний автоматизированных систем».</w:t>
      </w:r>
    </w:p>
    <w:p>
      <w:pPr>
        <w:spacing w:after="60"/>
        <w:ind w:left="425" w:hanging="227"/>
      </w:pPr>
      <w:r>
        <w:t>6. ГОСТ 19.201-78 «Техническое задание. Требования к содержанию и оформлению».</w:t>
      </w:r>
    </w:p>
    <w:p>
      <w:pPr>
        <w:spacing w:after="60"/>
        <w:ind w:left="425" w:hanging="227"/>
      </w:pPr>
      <w:r>
        <w:t>7. ГОСТ 34.201-2020 «Виды, комплектность и обозначение документов при создании автоматизированных систем».</w:t>
      </w:r>
    </w:p>
    <w:p>
      <w:pPr>
        <w:pStyle w:val="Heading1"/>
      </w:pPr>
      <w:r>
        <w:t>Приложение А. Описание бизнес-процессов (краткое)</w:t>
      </w:r>
    </w:p>
    <w:p>
      <w:pPr>
        <w:jc w:val="both"/>
      </w:pPr>
      <w:r>
        <w:rPr>
          <w:b/>
        </w:rPr>
        <w:t>А.1. Сценарий «Вход на сайт».</w:t>
      </w:r>
    </w:p>
    <w:p>
      <w:pPr>
        <w:jc w:val="both"/>
      </w:pPr>
      <w:r>
        <w:t>Пользователь открывает сайт → выбирает мессенджер (MAX/Telegram) → бот подтверждает вход по одноразовой ссылке → открывается личный кабинет. При повторном использовании ссылки — сообщение об ошибке и запрос новой ссылки у координатора.</w:t>
      </w:r>
    </w:p>
    <w:p>
      <w:pPr>
        <w:jc w:val="both"/>
      </w:pPr>
      <w:r>
        <w:rPr>
          <w:b/>
        </w:rPr>
        <w:t>А.2. Сценарий «Еженедельная рассылка».</w:t>
      </w:r>
    </w:p>
    <w:p>
      <w:pPr>
        <w:jc w:val="both"/>
      </w:pPr>
      <w:r>
        <w:t>Система формирует персональную сводку по каждому региону (прирост от точки 0, динамика округа, рекомендация) → отправляет через бота → кнопка «Открыть цели» ведёт на сайт.</w:t>
      </w:r>
    </w:p>
    <w:p>
      <w:pPr>
        <w:jc w:val="both"/>
      </w:pPr>
      <w:r>
        <w:rPr>
          <w:b/>
        </w:rPr>
        <w:t>А.3. Сценарий «Работа с целями».</w:t>
      </w:r>
    </w:p>
    <w:p>
      <w:pPr>
        <w:jc w:val="both"/>
      </w:pPr>
      <w:r>
        <w:t>Руководитель регионального отделения открывает раздел «Цели организации» → видит общую цель, вклад округов, топ регионов, красную зону, советы → при наличии динамики у отделения в боте появляется кнопка «Дать совет для других лидеров».</w:t>
      </w:r>
    </w:p>
    <w:p>
      <w:pPr>
        <w:jc w:val="both"/>
      </w:pPr>
      <w:r>
        <w:rPr>
          <w:b/>
        </w:rPr>
        <w:t>А.4. Сценарий «Ведение региона».</w:t>
      </w:r>
    </w:p>
    <w:p>
      <w:pPr>
        <w:jc w:val="both"/>
      </w:pPr>
      <w:r>
        <w:t>Руководитель отделения заполняет карточку регионального отделения (численность, ссылки на сообщества и чаты), добавляет членов, загружает артефакты, ведёт задачи.</w:t>
      </w:r>
    </w:p>
    <w:p>
      <w:pPr>
        <w:jc w:val="both"/>
      </w:pPr>
      <w:r>
        <w:rPr>
          <w:b/>
        </w:rPr>
        <w:t>А.5. Сценарий «Ассистент "Зам"» (по выбранному варианту п. 4.2.14).</w:t>
      </w:r>
    </w:p>
    <w:p>
      <w:pPr>
        <w:jc w:val="both"/>
      </w:pPr>
      <w:r>
        <w:t>Владелец подключает ассистента → ассистент публикует информацию от имени владельца → действия фиксируются в журнале.</w:t>
      </w:r>
    </w:p>
    <w:p>
      <w:pPr>
        <w:pStyle w:val="Heading1"/>
      </w:pPr>
      <w:r>
        <w:t>Приложение Б. Состав экранов аналогичной действующей платформы (референс функциональности, по скриншотам)</w:t>
      </w:r>
    </w:p>
    <w:p>
      <w:pPr>
        <w:jc w:val="both"/>
      </w:pPr>
      <w:r>
        <w:t>Ниже приведён состав экранов аналогичной действующей платформы, использованной в качестве референса функциональности. Финальный состав экранов Системы уточняется на этапе эскизного проектирования.</w:t>
      </w:r>
    </w:p>
    <w:p>
      <w:pPr>
        <w:keepNext/>
        <w:spacing w:before="200" w:after="80"/>
      </w:pPr>
      <w:r>
        <w:t>Таблица Б.1 — Состав экранов референсной платформы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987"/>
            <w:shd w:val="clear" w:color="auto" w:fill="D9D9D9"/>
            <w:vAlign w:val="center"/>
          </w:tcPr>
          <w:p>
            <w:pPr>
              <w:spacing w:after="40" w:line="240" w:lineRule="auto"/>
              <w:jc w:val="center"/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  <w:t>Экран</w:t>
            </w:r>
          </w:p>
        </w:tc>
        <w:tc>
          <w:tcPr>
            <w:tcW w:type="dxa" w:w="8367"/>
            <w:shd w:val="clear" w:color="auto" w:fill="D9D9D9"/>
            <w:vAlign w:val="center"/>
          </w:tcPr>
          <w:p>
            <w:pPr>
              <w:spacing w:after="40" w:line="240" w:lineRule="auto"/>
              <w:jc w:val="center"/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  <w:t>Содержимое</w:t>
            </w:r>
          </w:p>
        </w:tc>
      </w:tr>
      <w:tr>
        <w:tc>
          <w:tcPr>
            <w:tcW w:type="dxa" w:w="987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Вход</w:t>
            </w:r>
          </w:p>
        </w:tc>
        <w:tc>
          <w:tcPr>
            <w:tcW w:type="dxa" w:w="8367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«Вход через рабочий бот», выбор MAX/Telegram, одноразовая ссылка, «Нет доступа? Начните регистрацию через бота»</w:t>
            </w:r>
          </w:p>
        </w:tc>
      </w:tr>
      <w:tr>
        <w:tc>
          <w:tcPr>
            <w:tcW w:type="dxa" w:w="987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Бот — приветствие</w:t>
            </w:r>
          </w:p>
        </w:tc>
        <w:tc>
          <w:tcPr>
            <w:tcW w:type="dxa" w:w="8367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5 шагов: регистрация → заявка на интенсив → онлайн-обучение → Мурманск → защита проекта и грант</w:t>
            </w:r>
          </w:p>
        </w:tc>
      </w:tr>
      <w:tr>
        <w:tc>
          <w:tcPr>
            <w:tcW w:type="dxa" w:w="987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Бот — меню</w:t>
            </w:r>
          </w:p>
        </w:tc>
        <w:tc>
          <w:tcPr>
            <w:tcW w:type="dxa" w:w="8367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Войти на сайт, Мои возможности, Регионы и пользователи, Цели сообщества, Регистрации МПР 2026, Помощь; команды /start /login /requests /regions /goals /mpr /help</w:t>
            </w:r>
          </w:p>
        </w:tc>
      </w:tr>
      <w:tr>
        <w:tc>
          <w:tcPr>
            <w:tcW w:type="dxa" w:w="987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Бот — рассылка</w:t>
            </w:r>
          </w:p>
        </w:tc>
        <w:tc>
          <w:tcPr>
            <w:tcW w:type="dxa" w:w="8367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«Еженедельный фокус целей»: регион, прирост от 11.06.2026, динамика округа, «Что делать», кнопка «Открыть цели»</w:t>
            </w:r>
          </w:p>
        </w:tc>
      </w:tr>
      <w:tr>
        <w:tc>
          <w:tcPr>
            <w:tcW w:type="dxa" w:w="987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Бот — вход</w:t>
            </w:r>
          </w:p>
        </w:tc>
        <w:tc>
          <w:tcPr>
            <w:tcW w:type="dxa" w:w="8367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«{ФИО}, вход выполнен!», «Сайт откроется автоматически», кнопка «Открыть сайт»</w:t>
            </w:r>
          </w:p>
        </w:tc>
      </w:tr>
      <w:tr>
        <w:tc>
          <w:tcPr>
            <w:tcW w:type="dxa" w:w="987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Сайт — меню</w:t>
            </w:r>
          </w:p>
        </w:tc>
        <w:tc>
          <w:tcPr>
            <w:tcW w:type="dxa" w:w="8367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Главная, Цели сообщества, Календарь событий, Запросы, База знаний, Рейтинг регионов, История платформы, Выйти</w:t>
            </w:r>
          </w:p>
        </w:tc>
      </w:tr>
      <w:tr>
        <w:tc>
          <w:tcPr>
            <w:tcW w:type="dxa" w:w="987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Сайт — цели</w:t>
            </w:r>
          </w:p>
        </w:tc>
        <w:tc>
          <w:tcPr>
            <w:tcW w:type="dxa" w:w="8367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Общая цель +1096, вклад округов +338, точка 0 / сейчас / цель, МПР 2026: прирост +2594, 89 регионов с динамикой</w:t>
            </w:r>
          </w:p>
        </w:tc>
      </w:tr>
      <w:tr>
        <w:tc>
          <w:tcPr>
            <w:tcW w:type="dxa" w:w="987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Сайт — динамика</w:t>
            </w:r>
          </w:p>
        </w:tc>
        <w:tc>
          <w:tcPr>
            <w:tcW w:type="dxa" w:w="8367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Точка 0: 2026-05-08, срез: 2026-08-07, автообновление, накопительная динамика регистраций</w:t>
            </w:r>
          </w:p>
        </w:tc>
      </w:tr>
      <w:tr>
        <w:tc>
          <w:tcPr>
            <w:tcW w:type="dxa" w:w="987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Сайт — топ</w:t>
            </w:r>
          </w:p>
        </w:tc>
        <w:tc>
          <w:tcPr>
            <w:tcW w:type="dxa" w:w="8367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Москва +224, Башкортостан +217, Санкт-Петербург +159, ДНР +136, Татарстан +132</w:t>
            </w:r>
          </w:p>
        </w:tc>
      </w:tr>
      <w:tr>
        <w:tc>
          <w:tcPr>
            <w:tcW w:type="dxa" w:w="987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Сайт — красная зона</w:t>
            </w:r>
          </w:p>
        </w:tc>
        <w:tc>
          <w:tcPr>
            <w:tcW w:type="dxa" w:w="8367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Регионы без прироста от точки 0, «все регионы дали прирост», полный список</w:t>
            </w:r>
          </w:p>
        </w:tc>
      </w:tr>
      <w:tr>
        <w:tc>
          <w:tcPr>
            <w:tcW w:type="dxa" w:w="987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Сайт — советы</w:t>
            </w:r>
          </w:p>
        </w:tc>
        <w:tc>
          <w:tcPr>
            <w:tcW w:type="dxa" w:w="8367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«Советы от регионов», пустое состояние с подсказкой про кнопку в боте</w:t>
            </w:r>
          </w:p>
        </w:tc>
      </w:tr>
    </w:tbl>
    <w:p>
      <w:pPr>
        <w:spacing w:after="120"/>
      </w:pPr>
      <w:r>
        <w:rPr>
          <w:sz w:val="4"/>
        </w:rPr>
      </w:r>
    </w:p>
    <w:p>
      <w:pPr>
        <w:pStyle w:val="Heading1"/>
      </w:pPr>
      <w:r>
        <w:t>Приложение В. Сводная таблица вариантов решений</w:t>
      </w:r>
    </w:p>
    <w:p>
      <w:pPr>
        <w:keepNext/>
        <w:spacing w:before="200" w:after="80"/>
      </w:pPr>
      <w:r>
        <w:t>Таблица В.1 — Сводная таблица вариантов решений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22"/>
        <w:gridCol w:w="2422"/>
        <w:gridCol w:w="2422"/>
        <w:gridCol w:w="2422"/>
      </w:tblGrid>
      <w:tr>
        <w:tc>
          <w:tcPr>
            <w:tcW w:type="dxa" w:w="792"/>
            <w:shd w:val="clear" w:color="auto" w:fill="D9D9D9"/>
            <w:vAlign w:val="center"/>
          </w:tcPr>
          <w:p>
            <w:pPr>
              <w:spacing w:after="40" w:line="240" w:lineRule="auto"/>
              <w:jc w:val="center"/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  <w:t>№</w:t>
            </w:r>
          </w:p>
        </w:tc>
        <w:tc>
          <w:tcPr>
            <w:tcW w:type="dxa" w:w="2349"/>
            <w:shd w:val="clear" w:color="auto" w:fill="D9D9D9"/>
            <w:vAlign w:val="center"/>
          </w:tcPr>
          <w:p>
            <w:pPr>
              <w:spacing w:after="40" w:line="240" w:lineRule="auto"/>
              <w:jc w:val="center"/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  <w:t>Вопрос</w:t>
            </w:r>
          </w:p>
        </w:tc>
        <w:tc>
          <w:tcPr>
            <w:tcW w:type="dxa" w:w="2728"/>
            <w:shd w:val="clear" w:color="auto" w:fill="D9D9D9"/>
            <w:vAlign w:val="center"/>
          </w:tcPr>
          <w:p>
            <w:pPr>
              <w:spacing w:after="40" w:line="240" w:lineRule="auto"/>
              <w:jc w:val="center"/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  <w:t>Вариант 1 (рекомендуемый)</w:t>
            </w:r>
          </w:p>
        </w:tc>
        <w:tc>
          <w:tcPr>
            <w:tcW w:type="dxa" w:w="3485"/>
            <w:shd w:val="clear" w:color="auto" w:fill="D9D9D9"/>
            <w:vAlign w:val="center"/>
          </w:tcPr>
          <w:p>
            <w:pPr>
              <w:spacing w:after="40" w:line="240" w:lineRule="auto"/>
              <w:jc w:val="center"/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  <w:t>Вариант 2</w:t>
            </w:r>
          </w:p>
        </w:tc>
      </w:tr>
      <w:tr>
        <w:tc>
          <w:tcPr>
            <w:tcW w:type="dxa" w:w="792"/>
            <w:vAlign w:val="center"/>
          </w:tcPr>
          <w:p>
            <w:pPr>
              <w:spacing w:after="40" w:line="240" w:lineRule="auto"/>
              <w:jc w:val="center"/>
            </w:pPr>
            <w:r>
              <w:rPr>
                <w:sz w:val="20"/>
              </w:rPr>
            </w:r>
            <w:r>
              <w:rPr>
                <w:sz w:val="20"/>
              </w:rPr>
              <w:t>1</w:t>
            </w:r>
          </w:p>
        </w:tc>
        <w:tc>
          <w:tcPr>
            <w:tcW w:type="dxa" w:w="2349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Ассистент «Зам» (п. 4.2.14)</w:t>
            </w:r>
          </w:p>
        </w:tc>
        <w:tc>
          <w:tcPr>
            <w:tcW w:type="dxa" w:w="2728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AI-ассистент (программный агент)</w:t>
            </w:r>
          </w:p>
        </w:tc>
        <w:tc>
          <w:tcPr>
            <w:tcW w:type="dxa" w:w="3485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Живой заместитель (роль-человек)</w:t>
            </w:r>
          </w:p>
        </w:tc>
      </w:tr>
      <w:tr>
        <w:tc>
          <w:tcPr>
            <w:tcW w:type="dxa" w:w="792"/>
            <w:vAlign w:val="center"/>
          </w:tcPr>
          <w:p>
            <w:pPr>
              <w:spacing w:after="40" w:line="240" w:lineRule="auto"/>
              <w:jc w:val="center"/>
            </w:pPr>
            <w:r>
              <w:rPr>
                <w:sz w:val="20"/>
              </w:rPr>
            </w:r>
            <w:r>
              <w:rPr>
                <w:sz w:val="20"/>
              </w:rPr>
              <w:t>2</w:t>
            </w:r>
          </w:p>
        </w:tc>
        <w:tc>
          <w:tcPr>
            <w:tcW w:type="dxa" w:w="2349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Доступ к задачам (п. 4.2.9.1)</w:t>
            </w:r>
          </w:p>
        </w:tc>
        <w:tc>
          <w:tcPr>
            <w:tcW w:type="dxa" w:w="2728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Все авторизованные члены</w:t>
            </w:r>
          </w:p>
        </w:tc>
        <w:tc>
          <w:tcPr>
            <w:tcW w:type="dxa" w:w="3485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Только руководители отделений и администраторы</w:t>
            </w:r>
          </w:p>
        </w:tc>
      </w:tr>
      <w:tr>
        <w:tc>
          <w:tcPr>
            <w:tcW w:type="dxa" w:w="792"/>
            <w:vAlign w:val="center"/>
          </w:tcPr>
          <w:p>
            <w:pPr>
              <w:spacing w:after="40" w:line="240" w:lineRule="auto"/>
              <w:jc w:val="center"/>
            </w:pPr>
            <w:r>
              <w:rPr>
                <w:sz w:val="20"/>
              </w:rPr>
            </w:r>
            <w:r>
              <w:rPr>
                <w:sz w:val="20"/>
              </w:rPr>
              <w:t>3</w:t>
            </w:r>
          </w:p>
        </w:tc>
        <w:tc>
          <w:tcPr>
            <w:tcW w:type="dxa" w:w="2349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Артефакты (п. 4.2.8.1)</w:t>
            </w:r>
          </w:p>
        </w:tc>
        <w:tc>
          <w:tcPr>
            <w:tcW w:type="dxa" w:w="2728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Простая загрузка файлов</w:t>
            </w:r>
          </w:p>
        </w:tc>
        <w:tc>
          <w:tcPr>
            <w:tcW w:type="dxa" w:w="3485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Медиатека с категориями и версиями</w:t>
            </w:r>
          </w:p>
        </w:tc>
      </w:tr>
      <w:tr>
        <w:tc>
          <w:tcPr>
            <w:tcW w:type="dxa" w:w="792"/>
            <w:vAlign w:val="center"/>
          </w:tcPr>
          <w:p>
            <w:pPr>
              <w:spacing w:after="40" w:line="240" w:lineRule="auto"/>
              <w:jc w:val="center"/>
            </w:pPr>
            <w:r>
              <w:rPr>
                <w:sz w:val="20"/>
              </w:rPr>
            </w:r>
            <w:r>
              <w:rPr>
                <w:sz w:val="20"/>
              </w:rPr>
              <w:t>4</w:t>
            </w:r>
          </w:p>
        </w:tc>
        <w:tc>
          <w:tcPr>
            <w:tcW w:type="dxa" w:w="2349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Карточка региона (п. 4.2.6.1)</w:t>
            </w:r>
          </w:p>
        </w:tc>
        <w:tc>
          <w:tcPr>
            <w:tcW w:type="dxa" w:w="2728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Только своё отделение (+админ — все)</w:t>
            </w:r>
          </w:p>
        </w:tc>
        <w:tc>
          <w:tcPr>
            <w:tcW w:type="dxa" w:w="3485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Открытое редактирование</w:t>
            </w:r>
          </w:p>
        </w:tc>
      </w:tr>
      <w:tr>
        <w:tc>
          <w:tcPr>
            <w:tcW w:type="dxa" w:w="792"/>
            <w:vAlign w:val="center"/>
          </w:tcPr>
          <w:p>
            <w:pPr>
              <w:spacing w:after="40" w:line="240" w:lineRule="auto"/>
              <w:jc w:val="center"/>
            </w:pPr>
            <w:r>
              <w:rPr>
                <w:sz w:val="20"/>
              </w:rPr>
            </w:r>
            <w:r>
              <w:rPr>
                <w:sz w:val="20"/>
              </w:rPr>
              <w:t>5</w:t>
            </w:r>
          </w:p>
        </w:tc>
        <w:tc>
          <w:tcPr>
            <w:tcW w:type="dxa" w:w="2349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Рассылки (п. 4.2.3.1)</w:t>
            </w:r>
          </w:p>
        </w:tc>
        <w:tc>
          <w:tcPr>
            <w:tcW w:type="dxa" w:w="2728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Фиксированные шаблоны</w:t>
            </w:r>
          </w:p>
        </w:tc>
        <w:tc>
          <w:tcPr>
            <w:tcW w:type="dxa" w:w="3485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Конструктор рассылок</w:t>
            </w:r>
          </w:p>
        </w:tc>
      </w:tr>
      <w:tr>
        <w:tc>
          <w:tcPr>
            <w:tcW w:type="dxa" w:w="792"/>
            <w:vAlign w:val="center"/>
          </w:tcPr>
          <w:p>
            <w:pPr>
              <w:spacing w:after="40" w:line="240" w:lineRule="auto"/>
              <w:jc w:val="center"/>
            </w:pPr>
            <w:r>
              <w:rPr>
                <w:sz w:val="20"/>
              </w:rPr>
            </w:r>
            <w:r>
              <w:rPr>
                <w:sz w:val="20"/>
              </w:rPr>
              <w:t>6</w:t>
            </w:r>
          </w:p>
        </w:tc>
        <w:tc>
          <w:tcPr>
            <w:tcW w:type="dxa" w:w="2349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Рейтинг (п. 4.2.5.1)</w:t>
            </w:r>
          </w:p>
        </w:tc>
        <w:tc>
          <w:tcPr>
            <w:tcW w:type="dxa" w:w="2728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По приросту от точки 0</w:t>
            </w:r>
          </w:p>
        </w:tc>
        <w:tc>
          <w:tcPr>
            <w:tcW w:type="dxa" w:w="3485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Комплексный (взвешенная формула)</w:t>
            </w:r>
          </w:p>
        </w:tc>
      </w:tr>
      <w:tr>
        <w:tc>
          <w:tcPr>
            <w:tcW w:type="dxa" w:w="792"/>
            <w:vAlign w:val="center"/>
          </w:tcPr>
          <w:p>
            <w:pPr>
              <w:spacing w:after="40" w:line="240" w:lineRule="auto"/>
              <w:jc w:val="center"/>
            </w:pPr>
            <w:r>
              <w:rPr>
                <w:sz w:val="20"/>
              </w:rPr>
            </w:r>
            <w:r>
              <w:rPr>
                <w:sz w:val="20"/>
              </w:rPr>
              <w:t>7</w:t>
            </w:r>
          </w:p>
        </w:tc>
        <w:tc>
          <w:tcPr>
            <w:tcW w:type="dxa" w:w="2349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История платформы (п. 4.2.13.1)</w:t>
            </w:r>
          </w:p>
        </w:tc>
        <w:tc>
          <w:tcPr>
            <w:tcW w:type="dxa" w:w="2728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Публичная лента новостей</w:t>
            </w:r>
          </w:p>
        </w:tc>
        <w:tc>
          <w:tcPr>
            <w:tcW w:type="dxa" w:w="3485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Внутренний аудит-лог</w:t>
            </w:r>
          </w:p>
        </w:tc>
      </w:tr>
      <w:tr>
        <w:tc>
          <w:tcPr>
            <w:tcW w:type="dxa" w:w="792"/>
            <w:vAlign w:val="center"/>
          </w:tcPr>
          <w:p>
            <w:pPr>
              <w:spacing w:after="40" w:line="240" w:lineRule="auto"/>
              <w:jc w:val="center"/>
            </w:pPr>
            <w:r>
              <w:rPr>
                <w:sz w:val="20"/>
              </w:rPr>
            </w:r>
            <w:r>
              <w:rPr>
                <w:sz w:val="20"/>
              </w:rPr>
              <w:t>8</w:t>
            </w:r>
          </w:p>
        </w:tc>
        <w:tc>
          <w:tcPr>
            <w:tcW w:type="dxa" w:w="2349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Мессенджеры (п. 4.1.13.2)</w:t>
            </w:r>
          </w:p>
        </w:tc>
        <w:tc>
          <w:tcPr>
            <w:tcW w:type="dxa" w:w="2728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Telegram + MAX сразу</w:t>
            </w:r>
          </w:p>
        </w:tc>
        <w:tc>
          <w:tcPr>
            <w:tcW w:type="dxa" w:w="3485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Сначала Telegram, MAX — этап 2</w:t>
            </w:r>
          </w:p>
        </w:tc>
      </w:tr>
      <w:tr>
        <w:tc>
          <w:tcPr>
            <w:tcW w:type="dxa" w:w="792"/>
            <w:vAlign w:val="center"/>
          </w:tcPr>
          <w:p>
            <w:pPr>
              <w:spacing w:after="40" w:line="240" w:lineRule="auto"/>
              <w:jc w:val="center"/>
            </w:pPr>
            <w:r>
              <w:rPr>
                <w:sz w:val="20"/>
              </w:rPr>
            </w:r>
            <w:r>
              <w:rPr>
                <w:sz w:val="20"/>
              </w:rPr>
              <w:t>9</w:t>
            </w:r>
          </w:p>
        </w:tc>
        <w:tc>
          <w:tcPr>
            <w:tcW w:type="dxa" w:w="2349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Масштаб (п. 4.1.13.1)</w:t>
            </w:r>
          </w:p>
        </w:tc>
        <w:tc>
          <w:tcPr>
            <w:tcW w:type="dxa" w:w="2728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До 10 тыс. пользователей</w:t>
            </w:r>
          </w:p>
        </w:tc>
        <w:tc>
          <w:tcPr>
            <w:tcW w:type="dxa" w:w="3485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До 100 тыс. пользователей</w:t>
            </w:r>
          </w:p>
        </w:tc>
      </w:tr>
      <w:tr>
        <w:tc>
          <w:tcPr>
            <w:tcW w:type="dxa" w:w="792"/>
            <w:vAlign w:val="center"/>
          </w:tcPr>
          <w:p>
            <w:pPr>
              <w:spacing w:after="40" w:line="240" w:lineRule="auto"/>
              <w:jc w:val="center"/>
            </w:pPr>
            <w:r>
              <w:rPr>
                <w:sz w:val="20"/>
              </w:rPr>
            </w:r>
            <w:r>
              <w:rPr>
                <w:sz w:val="20"/>
              </w:rPr>
              <w:t>10</w:t>
            </w:r>
          </w:p>
        </w:tc>
        <w:tc>
          <w:tcPr>
            <w:tcW w:type="dxa" w:w="2349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Дизайн (п. 4.1.13.3)</w:t>
            </w:r>
          </w:p>
        </w:tc>
        <w:tc>
          <w:tcPr>
            <w:tcW w:type="dxa" w:w="2728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По брендбуку «ОПОРА РОССИИ»</w:t>
            </w:r>
          </w:p>
        </w:tc>
        <w:tc>
          <w:tcPr>
            <w:tcW w:type="dxa" w:w="3485"/>
          </w:tcPr>
          <w:p>
            <w:pPr>
              <w:spacing w:after="40" w:line="240" w:lineRule="auto"/>
            </w:pPr>
            <w:r>
              <w:rPr>
                <w:sz w:val="20"/>
              </w:rPr>
            </w:r>
            <w:r>
              <w:rPr>
                <w:sz w:val="20"/>
              </w:rPr>
              <w:t>Новый дизайн-концепт с нуля</w:t>
            </w:r>
          </w:p>
        </w:tc>
      </w:tr>
    </w:tbl>
    <w:p>
      <w:pPr>
        <w:spacing w:after="120"/>
      </w:pPr>
      <w:r>
        <w:rPr>
          <w:sz w:val="4"/>
        </w:rPr>
      </w:r>
    </w:p>
    <w:p>
      <w:pPr>
        <w:jc w:val="both"/>
      </w:pPr>
      <w:r>
        <w:rPr>
          <w:i/>
        </w:rPr>
        <w:t>Документ подготовлен как проект для согласования. Позиции, отмеченные как «Вариант 1 (рекомендуемый)», предлагаются к утверждению по умолчанию; заказчик вправе выбрать Вариант 2 по любому пункту.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